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8C" w:rsidRDefault="000D0123" w:rsidP="00BE6B8C">
      <w:r>
        <w:rPr>
          <w:noProof/>
          <w:lang w:eastAsia="es-ES"/>
        </w:rPr>
        <w:pict>
          <v:shapetype id="_x0000_t202" coordsize="21600,21600" o:spt="202" path="m,l,21600r21600,l21600,xe">
            <v:stroke joinstyle="miter"/>
            <v:path gradientshapeok="t" o:connecttype="rect"/>
          </v:shapetype>
          <v:shape id="_x0000_s1028" type="#_x0000_t202" style="position:absolute;margin-left:298.55pt;margin-top:-33.55pt;width:162.4pt;height:38.05pt;z-index:251660288" strokecolor="white [3212]">
            <v:textbox>
              <w:txbxContent>
                <w:p w:rsidR="00BE6B8C" w:rsidRDefault="00BE6B8C" w:rsidP="00BE6B8C">
                  <w:r>
                    <w:rPr>
                      <w:noProof/>
                      <w:lang w:eastAsia="es-ES"/>
                    </w:rPr>
                    <w:drawing>
                      <wp:inline distT="0" distB="0" distL="0" distR="0">
                        <wp:extent cx="1876931" cy="336431"/>
                        <wp:effectExtent l="19050" t="0" r="9019" b="0"/>
                        <wp:docPr id="2" name="0 Imagen" descr="2tFLE4F3dTkqiGb8DYzGTRnanqvcanVrUV2uYD-1H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FLE4F3dTkqiGb8DYzGTRnanqvcanVrUV2uYD-1HQI.png"/>
                                <pic:cNvPicPr/>
                              </pic:nvPicPr>
                              <pic:blipFill>
                                <a:blip r:embed="rId5"/>
                                <a:stretch>
                                  <a:fillRect/>
                                </a:stretch>
                              </pic:blipFill>
                              <pic:spPr>
                                <a:xfrm>
                                  <a:off x="0" y="0"/>
                                  <a:ext cx="1883010" cy="337521"/>
                                </a:xfrm>
                                <a:prstGeom prst="rect">
                                  <a:avLst/>
                                </a:prstGeom>
                              </pic:spPr>
                            </pic:pic>
                          </a:graphicData>
                        </a:graphic>
                      </wp:inline>
                    </w:drawing>
                  </w:r>
                </w:p>
              </w:txbxContent>
            </v:textbox>
          </v:shape>
        </w:pict>
      </w:r>
    </w:p>
    <w:p w:rsidR="00BE6B8C" w:rsidRPr="00907459" w:rsidRDefault="00BE6B8C" w:rsidP="00BE6B8C">
      <w:pPr>
        <w:jc w:val="both"/>
        <w:rPr>
          <w:b/>
          <w:lang w:val="en-GB"/>
        </w:rPr>
      </w:pPr>
      <w:r w:rsidRPr="00AA617B">
        <w:rPr>
          <w:b/>
          <w:lang w:val="en-GB"/>
        </w:rPr>
        <w:t xml:space="preserve">FOR IMMEDIATE RELEASE </w:t>
      </w:r>
      <w:r w:rsidRPr="00AA617B">
        <w:rPr>
          <w:b/>
          <w:lang w:val="en-GB"/>
        </w:rPr>
        <w:tab/>
      </w:r>
      <w:r w:rsidRPr="00AA617B">
        <w:rPr>
          <w:b/>
          <w:lang w:val="en-GB"/>
        </w:rPr>
        <w:tab/>
      </w:r>
      <w:r w:rsidRPr="00AA617B">
        <w:rPr>
          <w:b/>
          <w:lang w:val="en-GB"/>
        </w:rPr>
        <w:tab/>
      </w:r>
      <w:r w:rsidRPr="00AA617B">
        <w:rPr>
          <w:b/>
          <w:lang w:val="en-GB"/>
        </w:rPr>
        <w:tab/>
      </w:r>
      <w:r w:rsidRPr="00AA617B">
        <w:rPr>
          <w:b/>
          <w:lang w:val="en-GB"/>
        </w:rPr>
        <w:tab/>
      </w:r>
    </w:p>
    <w:p w:rsidR="00BE6B8C" w:rsidRPr="00907459" w:rsidRDefault="00BE6B8C" w:rsidP="00BE6B8C">
      <w:pPr>
        <w:pStyle w:val="Default"/>
        <w:jc w:val="both"/>
        <w:rPr>
          <w:rFonts w:asciiTheme="minorHAnsi" w:hAnsiTheme="minorHAnsi"/>
          <w:sz w:val="22"/>
          <w:szCs w:val="22"/>
          <w:lang w:val="en-GB"/>
        </w:rPr>
      </w:pPr>
    </w:p>
    <w:p w:rsidR="00BE6B8C" w:rsidRPr="00907459" w:rsidRDefault="00BE6B8C" w:rsidP="00BE6B8C">
      <w:pPr>
        <w:pStyle w:val="Default"/>
        <w:jc w:val="both"/>
        <w:rPr>
          <w:rFonts w:asciiTheme="minorHAnsi" w:hAnsiTheme="minorHAnsi"/>
          <w:sz w:val="22"/>
          <w:szCs w:val="22"/>
          <w:lang w:val="en-GB"/>
        </w:rPr>
      </w:pPr>
    </w:p>
    <w:p w:rsidR="00196A98" w:rsidRPr="00196A98" w:rsidRDefault="00196A98" w:rsidP="00196A98">
      <w:pPr>
        <w:jc w:val="center"/>
        <w:rPr>
          <w:b/>
          <w:lang w:val="en-GB"/>
        </w:rPr>
      </w:pPr>
      <w:r w:rsidRPr="00196A98">
        <w:rPr>
          <w:b/>
          <w:lang w:val="en-GB"/>
        </w:rPr>
        <w:t xml:space="preserve">SEB, </w:t>
      </w:r>
      <w:r w:rsidR="00197C25">
        <w:rPr>
          <w:b/>
          <w:lang w:val="en-GB"/>
        </w:rPr>
        <w:t xml:space="preserve">BAML, </w:t>
      </w:r>
      <w:r w:rsidRPr="00196A98">
        <w:rPr>
          <w:b/>
          <w:lang w:val="en-GB"/>
        </w:rPr>
        <w:t>Citi</w:t>
      </w:r>
      <w:r w:rsidR="008847E4">
        <w:rPr>
          <w:b/>
          <w:lang w:val="en-GB"/>
        </w:rPr>
        <w:t>, HSBC</w:t>
      </w:r>
      <w:bookmarkStart w:id="0" w:name="_GoBack"/>
      <w:bookmarkEnd w:id="0"/>
      <w:r w:rsidR="00197C25">
        <w:rPr>
          <w:b/>
          <w:lang w:val="en-GB"/>
        </w:rPr>
        <w:t xml:space="preserve"> and</w:t>
      </w:r>
      <w:r w:rsidRPr="00196A98">
        <w:rPr>
          <w:b/>
          <w:lang w:val="en-GB"/>
        </w:rPr>
        <w:t xml:space="preserve"> JP</w:t>
      </w:r>
      <w:r w:rsidR="004F1905">
        <w:rPr>
          <w:b/>
          <w:lang w:val="en-GB"/>
        </w:rPr>
        <w:t xml:space="preserve"> </w:t>
      </w:r>
      <w:r w:rsidRPr="00196A98">
        <w:rPr>
          <w:b/>
          <w:lang w:val="en-GB"/>
        </w:rPr>
        <w:t>M</w:t>
      </w:r>
      <w:r w:rsidR="004F1905">
        <w:rPr>
          <w:b/>
          <w:lang w:val="en-GB"/>
        </w:rPr>
        <w:t>organ</w:t>
      </w:r>
      <w:r w:rsidRPr="00196A98">
        <w:rPr>
          <w:b/>
          <w:lang w:val="en-GB"/>
        </w:rPr>
        <w:t xml:space="preserve"> lead the way in climate bond deals</w:t>
      </w:r>
    </w:p>
    <w:p w:rsidR="00BE6B8C" w:rsidRPr="00907459" w:rsidRDefault="00BE6B8C" w:rsidP="00196A98">
      <w:pPr>
        <w:pStyle w:val="Default"/>
        <w:jc w:val="both"/>
        <w:rPr>
          <w:rFonts w:asciiTheme="minorHAnsi" w:hAnsiTheme="minorHAnsi"/>
          <w:sz w:val="22"/>
          <w:szCs w:val="22"/>
          <w:lang w:val="en-GB"/>
        </w:rPr>
      </w:pPr>
    </w:p>
    <w:p w:rsidR="00196A98" w:rsidRPr="00196A98" w:rsidRDefault="00196A98" w:rsidP="00196A98">
      <w:pPr>
        <w:jc w:val="both"/>
        <w:rPr>
          <w:lang w:val="en-GB"/>
        </w:rPr>
      </w:pPr>
      <w:r>
        <w:rPr>
          <w:b/>
          <w:lang w:val="en-GB"/>
        </w:rPr>
        <w:t>25 September</w:t>
      </w:r>
      <w:r w:rsidR="00BE6B8C" w:rsidRPr="00907459">
        <w:rPr>
          <w:b/>
          <w:lang w:val="en-GB"/>
        </w:rPr>
        <w:t>, 2013. London, UK-</w:t>
      </w:r>
      <w:r w:rsidRPr="00196A98">
        <w:rPr>
          <w:lang w:val="en-GB"/>
        </w:rPr>
        <w:t xml:space="preserve"> The Climate Bonds Initiative today released further data from their recent report ‘Bonds and climate change: the state of the market in 2013’ showing which lead managers are driving growth in this market. </w:t>
      </w:r>
    </w:p>
    <w:p w:rsidR="00196A98" w:rsidRPr="00196A98" w:rsidRDefault="00196A98" w:rsidP="00196A98">
      <w:pPr>
        <w:jc w:val="both"/>
        <w:rPr>
          <w:lang w:val="en-GB"/>
        </w:rPr>
      </w:pPr>
      <w:r w:rsidRPr="00196A98">
        <w:rPr>
          <w:lang w:val="en-GB"/>
        </w:rPr>
        <w:t xml:space="preserve">“The report shows that there is a large amount of issuance out there in the climate bonds space, but the real game is with the underwriters – we continue to see very strong demand, so a step-up is needed in origination” said Sean Kidney, CEO of the Climate Bonds Initiative. </w:t>
      </w:r>
    </w:p>
    <w:p w:rsidR="00196A98" w:rsidRPr="00196A98" w:rsidRDefault="00196A98" w:rsidP="00196A98">
      <w:pPr>
        <w:jc w:val="both"/>
        <w:rPr>
          <w:lang w:val="en-GB"/>
        </w:rPr>
      </w:pPr>
      <w:r w:rsidRPr="00196A98">
        <w:rPr>
          <w:lang w:val="en-GB"/>
        </w:rPr>
        <w:t xml:space="preserve">Kidney added “There are two groups of leading underwriters. The first is the </w:t>
      </w:r>
      <w:r w:rsidRPr="00196A98">
        <w:rPr>
          <w:i/>
          <w:lang w:val="en-GB"/>
        </w:rPr>
        <w:t>labelled</w:t>
      </w:r>
      <w:r w:rsidRPr="00196A98">
        <w:rPr>
          <w:lang w:val="en-GB"/>
        </w:rPr>
        <w:t xml:space="preserve"> climate bonds market (including IFC and World Bank Green bonds) where Swedish Bank SEB is the clear leader, punching way above its weight, followed by </w:t>
      </w:r>
      <w:r w:rsidR="008847E4" w:rsidRPr="00196A98">
        <w:rPr>
          <w:lang w:val="en-GB"/>
        </w:rPr>
        <w:t>Bank of America Merril</w:t>
      </w:r>
      <w:r w:rsidR="008847E4">
        <w:rPr>
          <w:lang w:val="en-GB"/>
        </w:rPr>
        <w:t>l</w:t>
      </w:r>
      <w:r w:rsidR="008847E4" w:rsidRPr="00196A98">
        <w:rPr>
          <w:lang w:val="en-GB"/>
        </w:rPr>
        <w:t xml:space="preserve"> Lynch </w:t>
      </w:r>
      <w:r w:rsidRPr="00196A98">
        <w:rPr>
          <w:lang w:val="en-GB"/>
        </w:rPr>
        <w:t xml:space="preserve">and </w:t>
      </w:r>
      <w:r w:rsidR="00197C25">
        <w:rPr>
          <w:lang w:val="en-GB"/>
        </w:rPr>
        <w:t>JP Morgan</w:t>
      </w:r>
      <w:r w:rsidRPr="00196A98">
        <w:rPr>
          <w:lang w:val="en-GB"/>
        </w:rPr>
        <w:t xml:space="preserve">.” </w:t>
      </w:r>
    </w:p>
    <w:p w:rsidR="00196A98" w:rsidRPr="00196A98" w:rsidRDefault="00196A98" w:rsidP="00196A98">
      <w:pPr>
        <w:jc w:val="both"/>
        <w:rPr>
          <w:lang w:val="en-GB"/>
        </w:rPr>
      </w:pPr>
      <w:r w:rsidRPr="00196A98">
        <w:rPr>
          <w:lang w:val="en-GB"/>
        </w:rPr>
        <w:t xml:space="preserve">“The second is the </w:t>
      </w:r>
      <w:r w:rsidRPr="00196A98">
        <w:rPr>
          <w:i/>
          <w:lang w:val="en-GB"/>
        </w:rPr>
        <w:t>unlabelled</w:t>
      </w:r>
      <w:r w:rsidRPr="00196A98">
        <w:rPr>
          <w:lang w:val="en-GB"/>
        </w:rPr>
        <w:t xml:space="preserve"> climate bonds market, as identified in the report ‘</w:t>
      </w:r>
      <w:hyperlink r:id="rId6" w:history="1">
        <w:r w:rsidRPr="00196A98">
          <w:rPr>
            <w:rStyle w:val="Hipervnculo"/>
            <w:lang w:val="en-GB"/>
          </w:rPr>
          <w:t>Bonds and Climate Change: the state of the market in 2013</w:t>
        </w:r>
      </w:hyperlink>
      <w:r w:rsidRPr="00196A98">
        <w:rPr>
          <w:lang w:val="en-GB"/>
        </w:rPr>
        <w:t>’. In that much bigger universe it’s JP Morgan, Bank of America Merril</w:t>
      </w:r>
      <w:r w:rsidR="008847E4">
        <w:rPr>
          <w:lang w:val="en-GB"/>
        </w:rPr>
        <w:t>l</w:t>
      </w:r>
      <w:r w:rsidRPr="00196A98">
        <w:rPr>
          <w:lang w:val="en-GB"/>
        </w:rPr>
        <w:t xml:space="preserve"> Lynch, Goldman Sachs and Credit Suisse who dominate in terms of deal size and Citi, Barclays and HSBC leading in terms of number of deals.</w:t>
      </w:r>
    </w:p>
    <w:p w:rsidR="00EE08F9" w:rsidRDefault="00196A98" w:rsidP="00EE08F9">
      <w:pPr>
        <w:shd w:val="clear" w:color="auto" w:fill="FFFFFF"/>
        <w:jc w:val="both"/>
        <w:rPr>
          <w:rFonts w:ascii="Calibri" w:eastAsia="Times New Roman" w:hAnsi="Calibri" w:cs="Times New Roman"/>
          <w:lang w:val="en-GB" w:eastAsia="es-ES"/>
        </w:rPr>
      </w:pPr>
      <w:r w:rsidRPr="004F1905">
        <w:rPr>
          <w:lang w:val="en-GB"/>
        </w:rPr>
        <w:t>The climate bonds space is becoming increasingly at</w:t>
      </w:r>
      <w:r w:rsidR="007F5913">
        <w:rPr>
          <w:lang w:val="en-GB"/>
        </w:rPr>
        <w:t>tractive for the large banks</w:t>
      </w:r>
      <w:r w:rsidR="00250050">
        <w:rPr>
          <w:lang w:val="en-GB"/>
        </w:rPr>
        <w:t>.</w:t>
      </w:r>
      <w:r w:rsidRPr="004F1905">
        <w:rPr>
          <w:lang w:val="en-GB"/>
        </w:rPr>
        <w:t xml:space="preserve"> </w:t>
      </w:r>
      <w:r w:rsidR="004F1905" w:rsidRPr="004F1905">
        <w:rPr>
          <w:lang w:val="en-GB"/>
        </w:rPr>
        <w:t>Suzanne Buchta</w:t>
      </w:r>
      <w:r w:rsidR="006A13A4">
        <w:rPr>
          <w:lang w:val="en-GB"/>
        </w:rPr>
        <w:t>, a M</w:t>
      </w:r>
      <w:r w:rsidR="007F5913">
        <w:rPr>
          <w:lang w:val="en-GB"/>
        </w:rPr>
        <w:t xml:space="preserve">anaging </w:t>
      </w:r>
      <w:r w:rsidR="006A13A4">
        <w:rPr>
          <w:lang w:val="en-GB"/>
        </w:rPr>
        <w:t>D</w:t>
      </w:r>
      <w:r w:rsidR="007F5913">
        <w:rPr>
          <w:lang w:val="en-GB"/>
        </w:rPr>
        <w:t xml:space="preserve">irector from </w:t>
      </w:r>
      <w:r w:rsidR="00EE08F9" w:rsidRPr="00EE08F9">
        <w:rPr>
          <w:rFonts w:ascii="Calibri" w:eastAsia="Times New Roman" w:hAnsi="Calibri" w:cs="Times New Roman"/>
          <w:lang w:val="en-GB" w:eastAsia="es-ES"/>
        </w:rPr>
        <w:t>BofA Merrill Lynch</w:t>
      </w:r>
      <w:r w:rsidR="007F5913">
        <w:rPr>
          <w:lang w:val="en-GB"/>
        </w:rPr>
        <w:t>’s Debt Capital Markets division,</w:t>
      </w:r>
      <w:r w:rsidR="004F1905" w:rsidRPr="004F1905">
        <w:rPr>
          <w:lang w:val="en-GB"/>
        </w:rPr>
        <w:t xml:space="preserve"> </w:t>
      </w:r>
      <w:r w:rsidRPr="004F1905">
        <w:rPr>
          <w:lang w:val="en-GB"/>
        </w:rPr>
        <w:t xml:space="preserve">noted that </w:t>
      </w:r>
      <w:r w:rsidRPr="00EE08F9">
        <w:rPr>
          <w:lang w:val="en-GB"/>
        </w:rPr>
        <w:t>"</w:t>
      </w:r>
      <w:r w:rsidR="00EE08F9" w:rsidRPr="00EE08F9">
        <w:rPr>
          <w:rFonts w:ascii="Calibri" w:eastAsia="Times New Roman" w:hAnsi="Calibri" w:cs="Times New Roman"/>
          <w:lang w:val="en-GB" w:eastAsia="es-ES"/>
        </w:rPr>
        <w:t>BofA Merrill Lynch has been a leader in the Green Bond market since we led the first such bond, EIB’s EUR600mm Climate Awareness Bond, in 2007. Since then we have led other green bonds for World Bank, KEXIM, EIB, Commonwealth of Massachusetts, OPIC and others. We are excited by the growth in the market with larger issuance sizes, additional issuers and increasing investor interest.”</w:t>
      </w:r>
    </w:p>
    <w:p w:rsidR="006A13A4" w:rsidRPr="006A13A4" w:rsidRDefault="006A13A4" w:rsidP="006A13A4">
      <w:pPr>
        <w:shd w:val="clear" w:color="auto" w:fill="FFFFFF"/>
        <w:jc w:val="both"/>
        <w:rPr>
          <w:rFonts w:ascii="Times New Roman" w:eastAsia="Times New Roman" w:hAnsi="Times New Roman" w:cs="Times New Roman"/>
          <w:sz w:val="24"/>
          <w:szCs w:val="24"/>
          <w:lang w:val="en-GB" w:eastAsia="es-ES"/>
        </w:rPr>
      </w:pPr>
      <w:r>
        <w:rPr>
          <w:rFonts w:ascii="Calibri" w:eastAsia="Times New Roman" w:hAnsi="Calibri" w:cs="Times New Roman"/>
          <w:lang w:val="en-GB" w:eastAsia="es-ES"/>
        </w:rPr>
        <w:t>Mi</w:t>
      </w:r>
      <w:r w:rsidRPr="006A13A4">
        <w:rPr>
          <w:rFonts w:ascii="Calibri" w:eastAsia="Times New Roman" w:hAnsi="Calibri" w:cs="Times New Roman"/>
          <w:lang w:val="en-GB" w:eastAsia="es-ES"/>
        </w:rPr>
        <w:t>chael Eckhart, Managing Director from Citi’s Corporate and Investment Banking division, added “Citi applauds the work of Climate Bonds Initiative.  This information is useful for all parties including issuers, underwriters and investors. “</w:t>
      </w:r>
    </w:p>
    <w:p w:rsidR="009C2CBD" w:rsidRDefault="007F5913" w:rsidP="007F5913">
      <w:pPr>
        <w:jc w:val="both"/>
        <w:rPr>
          <w:rStyle w:val="apple-converted-space"/>
          <w:rFonts w:ascii="Calibri" w:hAnsi="Calibri"/>
          <w:sz w:val="23"/>
          <w:szCs w:val="23"/>
          <w:shd w:val="clear" w:color="auto" w:fill="FFFFFF"/>
          <w:lang w:val="en-GB"/>
        </w:rPr>
      </w:pPr>
      <w:r w:rsidRPr="00196A98">
        <w:rPr>
          <w:lang w:val="en-GB"/>
        </w:rPr>
        <w:t xml:space="preserve">SEB’s leadership in the labelled market highlights how a relatively small bank can create a significant business by promoting issuance in this space. SEB’s green bonds lead Christopher Flensborg noted that </w:t>
      </w:r>
      <w:r w:rsidRPr="004F1905">
        <w:rPr>
          <w:lang w:val="en-GB"/>
        </w:rPr>
        <w:t>"</w:t>
      </w:r>
      <w:r w:rsidRPr="004F1905">
        <w:rPr>
          <w:rFonts w:ascii="Calibri" w:hAnsi="Calibri"/>
          <w:sz w:val="23"/>
          <w:szCs w:val="23"/>
          <w:shd w:val="clear" w:color="auto" w:fill="FFFFFF"/>
          <w:lang w:val="en-GB"/>
        </w:rPr>
        <w:t>After years of hard work of early investors, issuers and banks - it is great to see the traction Green Bonds get now.”</w:t>
      </w:r>
    </w:p>
    <w:p w:rsidR="007F5913" w:rsidRPr="004F1905" w:rsidRDefault="007F5913" w:rsidP="007F5913">
      <w:pPr>
        <w:jc w:val="both"/>
        <w:rPr>
          <w:lang w:val="en-GB"/>
        </w:rPr>
      </w:pPr>
      <w:r w:rsidRPr="004F1905">
        <w:rPr>
          <w:rFonts w:ascii="Calibri" w:hAnsi="Calibri"/>
          <w:sz w:val="23"/>
          <w:szCs w:val="23"/>
          <w:shd w:val="clear" w:color="auto" w:fill="FFFFFF"/>
          <w:lang w:val="en-GB"/>
        </w:rPr>
        <w:t>“For the first time ever, I think, we see mainstream portfolios engaging in climate financing in a direct and thoughtful manner - the work done by The World Bank and other early issuers have enabled this activity and the contributions from institutions like</w:t>
      </w:r>
      <w:r w:rsidR="00656426">
        <w:rPr>
          <w:rFonts w:ascii="Calibri" w:hAnsi="Calibri"/>
          <w:sz w:val="23"/>
          <w:szCs w:val="23"/>
          <w:shd w:val="clear" w:color="auto" w:fill="FFFFFF"/>
          <w:lang w:val="en-GB"/>
        </w:rPr>
        <w:t xml:space="preserve"> the</w:t>
      </w:r>
      <w:r w:rsidRPr="004F1905">
        <w:rPr>
          <w:rFonts w:ascii="Calibri" w:hAnsi="Calibri"/>
          <w:sz w:val="23"/>
          <w:szCs w:val="23"/>
          <w:shd w:val="clear" w:color="auto" w:fill="FFFFFF"/>
          <w:lang w:val="en-GB"/>
        </w:rPr>
        <w:t xml:space="preserve"> C</w:t>
      </w:r>
      <w:r w:rsidR="00656426">
        <w:rPr>
          <w:rFonts w:ascii="Calibri" w:hAnsi="Calibri"/>
          <w:sz w:val="23"/>
          <w:szCs w:val="23"/>
          <w:shd w:val="clear" w:color="auto" w:fill="FFFFFF"/>
          <w:lang w:val="en-GB"/>
        </w:rPr>
        <w:t xml:space="preserve">limate </w:t>
      </w:r>
      <w:r w:rsidRPr="004F1905">
        <w:rPr>
          <w:rFonts w:ascii="Calibri" w:hAnsi="Calibri"/>
          <w:sz w:val="23"/>
          <w:szCs w:val="23"/>
          <w:shd w:val="clear" w:color="auto" w:fill="FFFFFF"/>
          <w:lang w:val="en-GB"/>
        </w:rPr>
        <w:t>B</w:t>
      </w:r>
      <w:r w:rsidR="00656426">
        <w:rPr>
          <w:rFonts w:ascii="Calibri" w:hAnsi="Calibri"/>
          <w:sz w:val="23"/>
          <w:szCs w:val="23"/>
          <w:shd w:val="clear" w:color="auto" w:fill="FFFFFF"/>
          <w:lang w:val="en-GB"/>
        </w:rPr>
        <w:t xml:space="preserve">onds </w:t>
      </w:r>
      <w:r w:rsidRPr="004F1905">
        <w:rPr>
          <w:rFonts w:ascii="Calibri" w:hAnsi="Calibri"/>
          <w:sz w:val="23"/>
          <w:szCs w:val="23"/>
          <w:shd w:val="clear" w:color="auto" w:fill="FFFFFF"/>
          <w:lang w:val="en-GB"/>
        </w:rPr>
        <w:t>I</w:t>
      </w:r>
      <w:r w:rsidR="00656426">
        <w:rPr>
          <w:rFonts w:ascii="Calibri" w:hAnsi="Calibri"/>
          <w:sz w:val="23"/>
          <w:szCs w:val="23"/>
          <w:shd w:val="clear" w:color="auto" w:fill="FFFFFF"/>
          <w:lang w:val="en-GB"/>
        </w:rPr>
        <w:t>nitiative</w:t>
      </w:r>
      <w:r w:rsidRPr="004F1905">
        <w:rPr>
          <w:rFonts w:ascii="Calibri" w:hAnsi="Calibri"/>
          <w:sz w:val="23"/>
          <w:szCs w:val="23"/>
          <w:shd w:val="clear" w:color="auto" w:fill="FFFFFF"/>
          <w:lang w:val="en-GB"/>
        </w:rPr>
        <w:t xml:space="preserve"> to map the potential market and raise awareness has been very important. From SEB we see a clear trend of the market taking of and will continue to show strong commitment in our interaction with issuers and investors.”</w:t>
      </w:r>
    </w:p>
    <w:p w:rsidR="00196A98" w:rsidRPr="00196A98" w:rsidRDefault="00196A98" w:rsidP="00196A98">
      <w:pPr>
        <w:jc w:val="both"/>
        <w:rPr>
          <w:lang w:val="en-GB"/>
        </w:rPr>
      </w:pPr>
      <w:r w:rsidRPr="00196A98">
        <w:rPr>
          <w:lang w:val="en-GB"/>
        </w:rPr>
        <w:lastRenderedPageBreak/>
        <w:t>Kidney said “The labelled green bond market from development banks has shown what can be done and the scale of demand. We now expect to see the model being used in the corporate sector. For that market, however, stringent green or climate bond standards will be of paramount importance.”</w:t>
      </w:r>
    </w:p>
    <w:p w:rsidR="00196A98" w:rsidRPr="00196A98" w:rsidRDefault="00196A98" w:rsidP="00196A98">
      <w:pPr>
        <w:jc w:val="both"/>
        <w:rPr>
          <w:lang w:val="en-GB"/>
        </w:rPr>
      </w:pPr>
      <w:r w:rsidRPr="00196A98">
        <w:rPr>
          <w:lang w:val="en-GB"/>
        </w:rPr>
        <w:t>“For investor demand to remain high there has to be trust in the green credentials of the bonds. Independent verification will be pivotal to ensuring that bond proceeds are used as they are marketed.”</w:t>
      </w:r>
    </w:p>
    <w:p w:rsidR="00BE6B8C" w:rsidRPr="00C34B28" w:rsidRDefault="00196A98" w:rsidP="00196A98">
      <w:pPr>
        <w:jc w:val="both"/>
        <w:rPr>
          <w:lang w:val="en-GB"/>
        </w:rPr>
      </w:pPr>
      <w:r w:rsidRPr="00196A98">
        <w:rPr>
          <w:lang w:val="en-GB"/>
        </w:rPr>
        <w:t xml:space="preserve">Sean Kidney will be speaking at Bloomberg LP in New York City on Thursday 26 September at 12:45 as part of </w:t>
      </w:r>
      <w:hyperlink r:id="rId7" w:anchor="592" w:history="1">
        <w:r w:rsidRPr="00196A98">
          <w:rPr>
            <w:rStyle w:val="Hipervnculo"/>
            <w:lang w:val="en-GB"/>
          </w:rPr>
          <w:t>Climate Week</w:t>
        </w:r>
      </w:hyperlink>
      <w:r w:rsidRPr="00196A98">
        <w:rPr>
          <w:lang w:val="en-GB"/>
        </w:rPr>
        <w:t>.</w:t>
      </w:r>
    </w:p>
    <w:p w:rsidR="00BE6B8C" w:rsidRPr="00C34B28" w:rsidRDefault="00BE6B8C" w:rsidP="00BE6B8C">
      <w:pPr>
        <w:pStyle w:val="Default"/>
        <w:jc w:val="both"/>
        <w:rPr>
          <w:rFonts w:asciiTheme="minorHAnsi" w:hAnsiTheme="minorHAnsi"/>
          <w:color w:val="auto"/>
          <w:sz w:val="22"/>
          <w:szCs w:val="22"/>
          <w:lang w:val="en-GB"/>
        </w:rPr>
      </w:pPr>
    </w:p>
    <w:p w:rsidR="00BE6B8C" w:rsidRPr="00907459" w:rsidRDefault="00BE6B8C" w:rsidP="00BE6B8C">
      <w:pPr>
        <w:pStyle w:val="Default"/>
        <w:jc w:val="center"/>
        <w:rPr>
          <w:rFonts w:asciiTheme="minorHAnsi" w:hAnsiTheme="minorHAnsi"/>
          <w:color w:val="auto"/>
          <w:sz w:val="22"/>
          <w:szCs w:val="22"/>
          <w:lang w:val="en-GB"/>
        </w:rPr>
      </w:pPr>
      <w:r w:rsidRPr="00907459">
        <w:rPr>
          <w:rFonts w:asciiTheme="minorHAnsi" w:hAnsiTheme="minorHAnsi"/>
          <w:color w:val="auto"/>
          <w:sz w:val="22"/>
          <w:szCs w:val="22"/>
          <w:lang w:val="en-GB"/>
        </w:rPr>
        <w:t>--ENDS--</w:t>
      </w:r>
    </w:p>
    <w:p w:rsidR="00196A98" w:rsidRDefault="00196A98" w:rsidP="00196A98">
      <w:pPr>
        <w:shd w:val="clear" w:color="auto" w:fill="FFFFFF"/>
        <w:spacing w:after="0" w:line="300" w:lineRule="atLeast"/>
        <w:rPr>
          <w:rFonts w:eastAsia="Times New Roman" w:cs="Arial"/>
          <w:b/>
          <w:lang w:val="en-GB" w:eastAsia="es-ES"/>
        </w:rPr>
      </w:pPr>
      <w:r>
        <w:rPr>
          <w:rFonts w:eastAsia="Times New Roman" w:cs="Arial"/>
          <w:b/>
          <w:lang w:val="en-GB" w:eastAsia="es-ES"/>
        </w:rPr>
        <w:t xml:space="preserve">For more information, please contact: </w:t>
      </w:r>
    </w:p>
    <w:p w:rsidR="00196A98" w:rsidRDefault="00196A98" w:rsidP="00196A98">
      <w:pPr>
        <w:shd w:val="clear" w:color="auto" w:fill="FFFFFF"/>
        <w:spacing w:after="0" w:line="300" w:lineRule="atLeast"/>
        <w:rPr>
          <w:lang w:val="en-GB"/>
        </w:rPr>
      </w:pPr>
    </w:p>
    <w:p w:rsidR="00196A98" w:rsidRDefault="00196A98" w:rsidP="00196A98">
      <w:pPr>
        <w:spacing w:line="240" w:lineRule="auto"/>
        <w:rPr>
          <w:lang w:val="en-GB"/>
        </w:rPr>
      </w:pPr>
      <w:r w:rsidRPr="00196A98">
        <w:rPr>
          <w:lang w:val="en-GB"/>
        </w:rPr>
        <w:t>Bridget Boulle (</w:t>
      </w:r>
      <w:r>
        <w:rPr>
          <w:lang w:val="en-GB"/>
        </w:rPr>
        <w:t>+44 207 749 2264</w:t>
      </w:r>
      <w:r w:rsidRPr="00196A98">
        <w:rPr>
          <w:lang w:val="en-GB"/>
        </w:rPr>
        <w:t xml:space="preserve">), </w:t>
      </w:r>
      <w:hyperlink r:id="rId8" w:history="1">
        <w:r w:rsidRPr="00461ABD">
          <w:rPr>
            <w:rStyle w:val="Hipervnculo"/>
            <w:lang w:val="en-GB"/>
          </w:rPr>
          <w:t>bridget.boulle@climatebonds.net</w:t>
        </w:r>
      </w:hyperlink>
    </w:p>
    <w:p w:rsidR="00196A98" w:rsidRPr="00196A98" w:rsidRDefault="00196A98" w:rsidP="00196A98">
      <w:pPr>
        <w:spacing w:line="240" w:lineRule="auto"/>
        <w:rPr>
          <w:lang w:val="en-GB"/>
        </w:rPr>
      </w:pPr>
      <w:r w:rsidRPr="00196A98">
        <w:rPr>
          <w:lang w:val="en-GB"/>
        </w:rPr>
        <w:t xml:space="preserve">Sean Kidney +44 75 2506 8331, </w:t>
      </w:r>
      <w:hyperlink r:id="rId9" w:history="1">
        <w:r w:rsidRPr="00196A98">
          <w:rPr>
            <w:rStyle w:val="Hipervnculo"/>
            <w:lang w:val="en-GB"/>
          </w:rPr>
          <w:t>sean@climatebonds.net</w:t>
        </w:r>
      </w:hyperlink>
    </w:p>
    <w:p w:rsidR="00C07CD9" w:rsidRDefault="001B4480" w:rsidP="00196A98">
      <w:pPr>
        <w:shd w:val="clear" w:color="auto" w:fill="FFFFFF"/>
        <w:spacing w:after="0" w:line="300" w:lineRule="atLeast"/>
        <w:rPr>
          <w:lang w:val="en-GB"/>
        </w:rPr>
      </w:pPr>
      <w:r w:rsidRPr="00C07CD9">
        <w:rPr>
          <w:rFonts w:eastAsia="Times New Roman" w:cs="Arial"/>
          <w:lang w:val="en-GB" w:eastAsia="es-ES"/>
        </w:rPr>
        <w:br/>
      </w:r>
      <w:r w:rsidR="00A63A32" w:rsidRPr="00907459">
        <w:rPr>
          <w:b/>
          <w:bCs/>
          <w:lang w:val="en-GB"/>
        </w:rPr>
        <w:t xml:space="preserve">About Climate Bonds Initiative: </w:t>
      </w:r>
      <w:r w:rsidR="00A63A32" w:rsidRPr="00907459">
        <w:rPr>
          <w:lang w:val="en-GB"/>
        </w:rPr>
        <w:t>The Climate Bonds Initiative is an investor-focused not-for-profit, promoting large-scale investment in the low-carbon economy.</w:t>
      </w:r>
      <w:r w:rsidR="0093347D" w:rsidRPr="00907459">
        <w:rPr>
          <w:lang w:val="en-GB"/>
        </w:rPr>
        <w:t xml:space="preserve"> For more information please visit</w:t>
      </w:r>
      <w:r w:rsidR="00A63A32" w:rsidRPr="00907459">
        <w:rPr>
          <w:lang w:val="en-GB"/>
        </w:rPr>
        <w:t xml:space="preserve"> </w:t>
      </w:r>
      <w:hyperlink r:id="rId10" w:history="1">
        <w:r w:rsidR="00196A98" w:rsidRPr="00461ABD">
          <w:rPr>
            <w:rStyle w:val="Hipervnculo"/>
            <w:lang w:val="en-GB"/>
          </w:rPr>
          <w:t>www.climatebonds.net</w:t>
        </w:r>
      </w:hyperlink>
    </w:p>
    <w:p w:rsidR="00196A98" w:rsidRDefault="00196A98" w:rsidP="00196A98">
      <w:pPr>
        <w:shd w:val="clear" w:color="auto" w:fill="FFFFFF"/>
        <w:spacing w:after="0" w:line="300" w:lineRule="atLeast"/>
        <w:rPr>
          <w:lang w:val="en-GB"/>
        </w:rPr>
      </w:pPr>
    </w:p>
    <w:p w:rsidR="00250050" w:rsidRPr="00196A98" w:rsidRDefault="00250050" w:rsidP="00250050">
      <w:pPr>
        <w:rPr>
          <w:lang w:val="en-GB"/>
        </w:rPr>
      </w:pPr>
      <w:r w:rsidRPr="001A4A06">
        <w:rPr>
          <w:b/>
          <w:lang w:val="en-GB"/>
        </w:rPr>
        <w:t>Disclosure:</w:t>
      </w:r>
      <w:r>
        <w:rPr>
          <w:lang w:val="en-GB"/>
        </w:rPr>
        <w:t xml:space="preserve"> BofA Foundation is a funder of the Climate Bonds Initiative.</w:t>
      </w:r>
    </w:p>
    <w:p w:rsidR="001D67EB" w:rsidRDefault="001D67EB" w:rsidP="00196A98">
      <w:pPr>
        <w:rPr>
          <w:b/>
          <w:lang w:val="en-GB"/>
        </w:rPr>
      </w:pPr>
    </w:p>
    <w:p w:rsidR="00196A98" w:rsidRPr="00196A98" w:rsidRDefault="00196A98" w:rsidP="00196A98">
      <w:pPr>
        <w:rPr>
          <w:b/>
          <w:lang w:val="en-GB"/>
        </w:rPr>
      </w:pPr>
      <w:r w:rsidRPr="00196A98">
        <w:rPr>
          <w:b/>
          <w:lang w:val="en-GB"/>
        </w:rPr>
        <w:t>League Tables</w:t>
      </w:r>
    </w:p>
    <w:p w:rsidR="00196A98" w:rsidRDefault="00196A98" w:rsidP="00E55455">
      <w:pPr>
        <w:spacing w:after="0"/>
        <w:rPr>
          <w:lang w:val="en-GB"/>
        </w:rPr>
      </w:pPr>
      <w:r w:rsidRPr="00196A98">
        <w:rPr>
          <w:lang w:val="en-GB"/>
        </w:rPr>
        <w:t>Underwriters in the $9bn “labelled” green and climate bond market</w:t>
      </w:r>
      <w:r w:rsidR="00E55455">
        <w:rPr>
          <w:lang w:val="en-GB"/>
        </w:rPr>
        <w:t>.</w:t>
      </w:r>
    </w:p>
    <w:p w:rsidR="00E55455" w:rsidRPr="00E55455" w:rsidRDefault="00E55455" w:rsidP="00E55455">
      <w:pPr>
        <w:spacing w:after="0"/>
        <w:rPr>
          <w:i/>
          <w:lang w:val="en-GB"/>
        </w:rPr>
      </w:pPr>
      <w:r w:rsidRPr="00E55455">
        <w:rPr>
          <w:i/>
          <w:lang w:val="en-GB"/>
        </w:rPr>
        <w:t>Note:</w:t>
      </w:r>
      <w:r>
        <w:rPr>
          <w:i/>
          <w:lang w:val="en-GB"/>
        </w:rPr>
        <w:t xml:space="preserve"> Full value of the bond has been attributed to </w:t>
      </w:r>
      <w:r w:rsidRPr="00E55455">
        <w:rPr>
          <w:i/>
          <w:u w:val="single"/>
          <w:lang w:val="en-GB"/>
        </w:rPr>
        <w:t>each</w:t>
      </w:r>
      <w:r>
        <w:rPr>
          <w:i/>
          <w:lang w:val="en-GB"/>
        </w:rPr>
        <w:t xml:space="preserve"> of its lead managers </w:t>
      </w:r>
    </w:p>
    <w:p w:rsidR="00E55455" w:rsidRPr="00196A98" w:rsidRDefault="00E55455" w:rsidP="00196A98">
      <w:pPr>
        <w:rPr>
          <w:lang w:val="en-GB"/>
        </w:rPr>
      </w:pPr>
      <w:r>
        <w:rPr>
          <w:noProof/>
          <w:lang w:eastAsia="es-ES"/>
        </w:rPr>
        <w:drawing>
          <wp:inline distT="0" distB="0" distL="0" distR="0">
            <wp:extent cx="5387340"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6A98" w:rsidRPr="00DC6F98" w:rsidRDefault="00196A98" w:rsidP="00196A98"/>
    <w:p w:rsidR="00196A98" w:rsidRPr="00DC6F98" w:rsidRDefault="00196A98" w:rsidP="00196A98"/>
    <w:p w:rsidR="00196A98" w:rsidRPr="00196A98" w:rsidRDefault="00196A98" w:rsidP="00196A98">
      <w:pPr>
        <w:rPr>
          <w:lang w:val="en-GB"/>
        </w:rPr>
      </w:pPr>
      <w:r w:rsidRPr="00196A98">
        <w:rPr>
          <w:lang w:val="en-GB"/>
        </w:rPr>
        <w:t>Lead underwriters in the $346bn climate-aligned bond market (by amount outstanding)</w:t>
      </w:r>
    </w:p>
    <w:p w:rsidR="00E55455" w:rsidRPr="003A549B" w:rsidRDefault="00E55455" w:rsidP="00E55455">
      <w:pPr>
        <w:pStyle w:val="Prrafodelista"/>
        <w:numPr>
          <w:ilvl w:val="0"/>
          <w:numId w:val="3"/>
        </w:numPr>
        <w:rPr>
          <w:b/>
        </w:rPr>
      </w:pPr>
      <w:r w:rsidRPr="003A549B">
        <w:rPr>
          <w:b/>
        </w:rPr>
        <w:t xml:space="preserve">Lead underwriters in the $346bn climate-aligned bond market (by amount outstanding) </w:t>
      </w:r>
    </w:p>
    <w:p w:rsidR="00E55455" w:rsidRPr="006A13A4" w:rsidRDefault="00E55455" w:rsidP="00E55455">
      <w:pPr>
        <w:rPr>
          <w:i/>
          <w:iCs/>
          <w:lang w:val="en-GB"/>
        </w:rPr>
      </w:pPr>
      <w:r w:rsidRPr="006A13A4">
        <w:rPr>
          <w:i/>
          <w:lang w:val="en-GB"/>
        </w:rPr>
        <w:t>N</w:t>
      </w:r>
      <w:r w:rsidRPr="006A13A4">
        <w:rPr>
          <w:i/>
          <w:iCs/>
          <w:lang w:val="en-GB"/>
        </w:rPr>
        <w:t>ote amount outstanding has been divided by the number of lead managers and allocated equally</w:t>
      </w:r>
    </w:p>
    <w:p w:rsidR="00196A98" w:rsidRPr="00DC6F98" w:rsidRDefault="00E55455" w:rsidP="00196A98">
      <w:r>
        <w:rPr>
          <w:noProof/>
          <w:lang w:eastAsia="es-ES"/>
        </w:rPr>
        <w:drawing>
          <wp:inline distT="0" distB="0" distL="0" distR="0">
            <wp:extent cx="5669280" cy="272796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6A98" w:rsidRPr="00196A98" w:rsidRDefault="00196A98" w:rsidP="00196A98">
      <w:pPr>
        <w:rPr>
          <w:lang w:val="en-GB"/>
        </w:rPr>
      </w:pPr>
      <w:r w:rsidRPr="00196A98">
        <w:rPr>
          <w:lang w:val="en-GB"/>
        </w:rPr>
        <w:t>Lead underwriter</w:t>
      </w:r>
      <w:r w:rsidR="009C2CBD">
        <w:rPr>
          <w:lang w:val="en-GB"/>
        </w:rPr>
        <w:t>s</w:t>
      </w:r>
      <w:r w:rsidRPr="00196A98">
        <w:rPr>
          <w:lang w:val="en-GB"/>
        </w:rPr>
        <w:t xml:space="preserve"> in the $346bn climate-aligned bond market (by number of bonds)</w:t>
      </w:r>
    </w:p>
    <w:p w:rsidR="00196A98" w:rsidRPr="00DC6F98" w:rsidRDefault="00196A98" w:rsidP="00196A98">
      <w:r w:rsidRPr="00DC6F98">
        <w:rPr>
          <w:noProof/>
          <w:lang w:eastAsia="es-ES"/>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6A98" w:rsidRPr="00DC6F98" w:rsidRDefault="00196A98" w:rsidP="00196A98"/>
    <w:p w:rsidR="00196A98" w:rsidRDefault="00196A98" w:rsidP="00196A98">
      <w:pPr>
        <w:rPr>
          <w:lang w:val="en-GB"/>
        </w:rPr>
      </w:pPr>
      <w:r w:rsidRPr="001A4A06">
        <w:rPr>
          <w:b/>
          <w:lang w:val="en-GB"/>
        </w:rPr>
        <w:t>Source:</w:t>
      </w:r>
      <w:r w:rsidRPr="00196A98">
        <w:rPr>
          <w:lang w:val="en-GB"/>
        </w:rPr>
        <w:t xml:space="preserve"> Research completed for Climate Bonds Initiative “Bonds and Climate Change: State of the Market 2013”, commissioned by HSBC. </w:t>
      </w:r>
      <w:hyperlink r:id="rId14" w:history="1">
        <w:r w:rsidR="001A4A06" w:rsidRPr="00EB75AA">
          <w:rPr>
            <w:rStyle w:val="Hipervnculo"/>
            <w:lang w:val="en-GB"/>
          </w:rPr>
          <w:t>www.climatebonds.net</w:t>
        </w:r>
      </w:hyperlink>
    </w:p>
    <w:p w:rsidR="00196A98" w:rsidRPr="00D43474" w:rsidRDefault="00D43474" w:rsidP="00196A98">
      <w:pPr>
        <w:shd w:val="clear" w:color="auto" w:fill="FFFFFF"/>
        <w:spacing w:after="0" w:line="300" w:lineRule="atLeast"/>
        <w:rPr>
          <w:b/>
          <w:lang w:val="en-GB"/>
        </w:rPr>
      </w:pPr>
      <w:r w:rsidRPr="00040222">
        <w:rPr>
          <w:b/>
          <w:lang w:val="en-GB"/>
        </w:rPr>
        <w:t>Det</w:t>
      </w:r>
      <w:r w:rsidR="001D67EB" w:rsidRPr="00040222">
        <w:rPr>
          <w:b/>
          <w:lang w:val="en-GB"/>
        </w:rPr>
        <w:t xml:space="preserve">ailed League Tables available </w:t>
      </w:r>
      <w:r w:rsidR="001D67EB">
        <w:rPr>
          <w:b/>
          <w:lang w:val="en-GB"/>
        </w:rPr>
        <w:t>at:</w:t>
      </w:r>
      <w:r w:rsidR="00E55455" w:rsidRPr="00D43474">
        <w:rPr>
          <w:b/>
          <w:lang w:val="en-GB"/>
        </w:rPr>
        <w:t xml:space="preserve"> </w:t>
      </w:r>
      <w:hyperlink r:id="rId15" w:history="1">
        <w:r w:rsidR="00594157" w:rsidRPr="00594157">
          <w:rPr>
            <w:rStyle w:val="Hipervnculo"/>
            <w:lang w:val="en-GB"/>
          </w:rPr>
          <w:t>http://www.climatebonds.net/wp-content/uploads/2013/09/League-table-FINAL-for-website.pdf</w:t>
        </w:r>
      </w:hyperlink>
      <w:r w:rsidR="00594157">
        <w:rPr>
          <w:b/>
          <w:lang w:val="en-GB"/>
        </w:rPr>
        <w:t xml:space="preserve"> </w:t>
      </w:r>
    </w:p>
    <w:p w:rsidR="00A63A32" w:rsidRPr="00907459" w:rsidRDefault="00A63A32" w:rsidP="0053011E">
      <w:pPr>
        <w:shd w:val="clear" w:color="auto" w:fill="FFFFFF"/>
        <w:spacing w:after="0" w:line="300" w:lineRule="atLeast"/>
        <w:rPr>
          <w:rFonts w:eastAsia="Times New Roman" w:cs="Arial"/>
          <w:color w:val="555555"/>
          <w:lang w:val="en-GB" w:eastAsia="es-ES"/>
        </w:rPr>
      </w:pPr>
    </w:p>
    <w:p w:rsidR="00C07CD9" w:rsidRPr="00907459" w:rsidRDefault="00C07CD9" w:rsidP="0053011E">
      <w:pPr>
        <w:rPr>
          <w:lang w:val="en-GB"/>
        </w:rPr>
      </w:pPr>
    </w:p>
    <w:sectPr w:rsidR="00C07CD9" w:rsidRPr="00907459" w:rsidSect="0036168A">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E32"/>
    <w:multiLevelType w:val="hybridMultilevel"/>
    <w:tmpl w:val="666E2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595F59"/>
    <w:multiLevelType w:val="multilevel"/>
    <w:tmpl w:val="37C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9F4C06"/>
    <w:multiLevelType w:val="hybridMultilevel"/>
    <w:tmpl w:val="804A12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07CD9"/>
    <w:rsid w:val="00040222"/>
    <w:rsid w:val="00071AAA"/>
    <w:rsid w:val="000D0123"/>
    <w:rsid w:val="00107606"/>
    <w:rsid w:val="001306F0"/>
    <w:rsid w:val="00137868"/>
    <w:rsid w:val="00152966"/>
    <w:rsid w:val="00196A98"/>
    <w:rsid w:val="00197C25"/>
    <w:rsid w:val="001A4A06"/>
    <w:rsid w:val="001B4480"/>
    <w:rsid w:val="001D67EB"/>
    <w:rsid w:val="001F5920"/>
    <w:rsid w:val="00250050"/>
    <w:rsid w:val="002E522D"/>
    <w:rsid w:val="00311FA8"/>
    <w:rsid w:val="0036168A"/>
    <w:rsid w:val="003A3B80"/>
    <w:rsid w:val="003D5FA1"/>
    <w:rsid w:val="003D6B2D"/>
    <w:rsid w:val="003F647E"/>
    <w:rsid w:val="004F1905"/>
    <w:rsid w:val="00501C2F"/>
    <w:rsid w:val="00526E6B"/>
    <w:rsid w:val="0053011E"/>
    <w:rsid w:val="00557D57"/>
    <w:rsid w:val="0058134B"/>
    <w:rsid w:val="00594157"/>
    <w:rsid w:val="005E7B04"/>
    <w:rsid w:val="00656426"/>
    <w:rsid w:val="006A13A4"/>
    <w:rsid w:val="006E3787"/>
    <w:rsid w:val="006E4780"/>
    <w:rsid w:val="007575E7"/>
    <w:rsid w:val="007D597C"/>
    <w:rsid w:val="007E469C"/>
    <w:rsid w:val="007E62B4"/>
    <w:rsid w:val="007F5913"/>
    <w:rsid w:val="00803639"/>
    <w:rsid w:val="008065D3"/>
    <w:rsid w:val="008847E4"/>
    <w:rsid w:val="008A4AA8"/>
    <w:rsid w:val="00907459"/>
    <w:rsid w:val="0093347D"/>
    <w:rsid w:val="009947D3"/>
    <w:rsid w:val="009A0E98"/>
    <w:rsid w:val="009C2CBD"/>
    <w:rsid w:val="00A63A32"/>
    <w:rsid w:val="00A81EF7"/>
    <w:rsid w:val="00A85CFD"/>
    <w:rsid w:val="00AA617B"/>
    <w:rsid w:val="00AB3FF1"/>
    <w:rsid w:val="00AB43C2"/>
    <w:rsid w:val="00B00C1D"/>
    <w:rsid w:val="00B7272E"/>
    <w:rsid w:val="00BE6950"/>
    <w:rsid w:val="00BE6B8C"/>
    <w:rsid w:val="00C07CD9"/>
    <w:rsid w:val="00C07F6E"/>
    <w:rsid w:val="00C12BE6"/>
    <w:rsid w:val="00C34B28"/>
    <w:rsid w:val="00C53B35"/>
    <w:rsid w:val="00CD600C"/>
    <w:rsid w:val="00D43474"/>
    <w:rsid w:val="00D55ADF"/>
    <w:rsid w:val="00DD4EFF"/>
    <w:rsid w:val="00E31E5F"/>
    <w:rsid w:val="00E55455"/>
    <w:rsid w:val="00EE08F9"/>
    <w:rsid w:val="00FB09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7CD9"/>
    <w:pPr>
      <w:spacing w:after="0" w:line="240" w:lineRule="auto"/>
    </w:pPr>
    <w:rPr>
      <w:rFonts w:ascii="Tahoma" w:hAnsi="Tahoma" w:cs="Tahoma"/>
      <w:sz w:val="16"/>
      <w:szCs w:val="16"/>
    </w:rPr>
  </w:style>
  <w:style w:type="character" w:customStyle="1" w:styleId="BalloonTextChar">
    <w:name w:val="Balloon Text Char"/>
    <w:basedOn w:val="Fuentedeprrafopredeter"/>
    <w:uiPriority w:val="99"/>
    <w:semiHidden/>
    <w:rsid w:val="0082147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07CD9"/>
    <w:rPr>
      <w:rFonts w:ascii="Tahoma" w:hAnsi="Tahoma" w:cs="Tahoma"/>
      <w:sz w:val="16"/>
      <w:szCs w:val="16"/>
    </w:rPr>
  </w:style>
  <w:style w:type="paragraph" w:styleId="NormalWeb">
    <w:name w:val="Normal (Web)"/>
    <w:basedOn w:val="Normal"/>
    <w:uiPriority w:val="99"/>
    <w:semiHidden/>
    <w:unhideWhenUsed/>
    <w:rsid w:val="00C07C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07CD9"/>
  </w:style>
  <w:style w:type="character" w:styleId="Hipervnculo">
    <w:name w:val="Hyperlink"/>
    <w:basedOn w:val="Fuentedeprrafopredeter"/>
    <w:uiPriority w:val="99"/>
    <w:unhideWhenUsed/>
    <w:rsid w:val="00C07CD9"/>
    <w:rPr>
      <w:color w:val="0000FF"/>
      <w:u w:val="single"/>
    </w:rPr>
  </w:style>
  <w:style w:type="character" w:styleId="nfasis">
    <w:name w:val="Emphasis"/>
    <w:basedOn w:val="Fuentedeprrafopredeter"/>
    <w:uiPriority w:val="20"/>
    <w:qFormat/>
    <w:rsid w:val="00C07CD9"/>
    <w:rPr>
      <w:i/>
      <w:iCs/>
    </w:rPr>
  </w:style>
  <w:style w:type="character" w:styleId="Textoennegrita">
    <w:name w:val="Strong"/>
    <w:basedOn w:val="Fuentedeprrafopredeter"/>
    <w:uiPriority w:val="22"/>
    <w:qFormat/>
    <w:rsid w:val="00C07CD9"/>
    <w:rPr>
      <w:b/>
      <w:bCs/>
    </w:rPr>
  </w:style>
  <w:style w:type="paragraph" w:customStyle="1" w:styleId="Default">
    <w:name w:val="Default"/>
    <w:rsid w:val="00A63A3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55455"/>
    <w:pPr>
      <w:spacing w:after="0"/>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616374">
      <w:bodyDiv w:val="1"/>
      <w:marLeft w:val="0"/>
      <w:marRight w:val="0"/>
      <w:marTop w:val="0"/>
      <w:marBottom w:val="0"/>
      <w:divBdr>
        <w:top w:val="none" w:sz="0" w:space="0" w:color="auto"/>
        <w:left w:val="none" w:sz="0" w:space="0" w:color="auto"/>
        <w:bottom w:val="none" w:sz="0" w:space="0" w:color="auto"/>
        <w:right w:val="none" w:sz="0" w:space="0" w:color="auto"/>
      </w:divBdr>
    </w:div>
    <w:div w:id="1618373116">
      <w:bodyDiv w:val="1"/>
      <w:marLeft w:val="0"/>
      <w:marRight w:val="0"/>
      <w:marTop w:val="0"/>
      <w:marBottom w:val="0"/>
      <w:divBdr>
        <w:top w:val="none" w:sz="0" w:space="0" w:color="auto"/>
        <w:left w:val="none" w:sz="0" w:space="0" w:color="auto"/>
        <w:bottom w:val="none" w:sz="0" w:space="0" w:color="auto"/>
        <w:right w:val="none" w:sz="0" w:space="0" w:color="auto"/>
      </w:divBdr>
      <w:divsChild>
        <w:div w:id="14034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812053">
              <w:marLeft w:val="0"/>
              <w:marRight w:val="0"/>
              <w:marTop w:val="0"/>
              <w:marBottom w:val="0"/>
              <w:divBdr>
                <w:top w:val="none" w:sz="0" w:space="0" w:color="auto"/>
                <w:left w:val="none" w:sz="0" w:space="0" w:color="auto"/>
                <w:bottom w:val="none" w:sz="0" w:space="0" w:color="auto"/>
                <w:right w:val="none" w:sz="0" w:space="0" w:color="auto"/>
              </w:divBdr>
              <w:divsChild>
                <w:div w:id="16202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3993">
      <w:bodyDiv w:val="1"/>
      <w:marLeft w:val="0"/>
      <w:marRight w:val="0"/>
      <w:marTop w:val="0"/>
      <w:marBottom w:val="0"/>
      <w:divBdr>
        <w:top w:val="none" w:sz="0" w:space="0" w:color="auto"/>
        <w:left w:val="none" w:sz="0" w:space="0" w:color="auto"/>
        <w:bottom w:val="none" w:sz="0" w:space="0" w:color="auto"/>
        <w:right w:val="none" w:sz="0" w:space="0" w:color="auto"/>
      </w:divBdr>
      <w:divsChild>
        <w:div w:id="1135827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535521">
              <w:marLeft w:val="0"/>
              <w:marRight w:val="0"/>
              <w:marTop w:val="0"/>
              <w:marBottom w:val="0"/>
              <w:divBdr>
                <w:top w:val="none" w:sz="0" w:space="0" w:color="auto"/>
                <w:left w:val="none" w:sz="0" w:space="0" w:color="auto"/>
                <w:bottom w:val="none" w:sz="0" w:space="0" w:color="auto"/>
                <w:right w:val="none" w:sz="0" w:space="0" w:color="auto"/>
              </w:divBdr>
              <w:divsChild>
                <w:div w:id="2981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boulle@climatebonds.net" TargetMode="External"/><Relationship Id="rId13" Type="http://schemas.openxmlformats.org/officeDocument/2006/relationships/chart" Target="charts/chart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climateweeknyc.org/events/2013-09-26"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limatebonds.net/wp-content/uploads/2013/08/Bonds_Climate_Change_2013_A4.pdf" TargetMode="External"/><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hyperlink" Target="http://www.climatebonds.net/wp-content/uploads/2013/09/League-table-FINAL-for-website.pdf" TargetMode="External"/><Relationship Id="rId10" Type="http://schemas.openxmlformats.org/officeDocument/2006/relationships/hyperlink" Target="http://www.climatebonds.net" TargetMode="External"/><Relationship Id="rId4" Type="http://schemas.openxmlformats.org/officeDocument/2006/relationships/webSettings" Target="webSettings.xml"/><Relationship Id="rId9" Type="http://schemas.openxmlformats.org/officeDocument/2006/relationships/hyperlink" Target="mailto:sean@climatebonds.net" TargetMode="External"/><Relationship Id="rId14" Type="http://schemas.openxmlformats.org/officeDocument/2006/relationships/hyperlink" Target="http://www.climatebonds.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Climate%20Bonds%20Initiative\Current%20Projects\HSBC%20Report%202013\next%20steps\MDB%20bonds%20league%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Climate%20Bonds%20Initiative\Current%20Projects\HSBC%20Report%202013\next%20steps\league%20table%20data%2023Sp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ropbox\Climate%20Bonds%20Initiative\Current%20Projects\HSBC%20Report%202013\next%20steps\league%20table%20data%2023Sp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GB" sz="1200" b="0" i="0" baseline="0">
                <a:effectLst/>
              </a:rPr>
              <a:t>Labelled bonds: Lead Managers by amount issued </a:t>
            </a:r>
            <a:r>
              <a:rPr lang="en-GB" sz="1050" b="0" i="0" baseline="0">
                <a:effectLst/>
              </a:rPr>
              <a:t>(up to Aug 13) </a:t>
            </a:r>
            <a:endParaRPr lang="en-GB" sz="1200">
              <a:effectLst/>
            </a:endParaRPr>
          </a:p>
        </c:rich>
      </c:tx>
    </c:title>
    <c:plotArea>
      <c:layout/>
      <c:barChart>
        <c:barDir val="col"/>
        <c:grouping val="clustered"/>
        <c:ser>
          <c:idx val="0"/>
          <c:order val="0"/>
          <c:spPr>
            <a:solidFill>
              <a:schemeClr val="accent5">
                <a:lumMod val="50000"/>
              </a:schemeClr>
            </a:solidFill>
          </c:spPr>
          <c:cat>
            <c:strRef>
              <c:f>Sheet1!$A$2:$A$19</c:f>
              <c:strCache>
                <c:ptCount val="18"/>
                <c:pt idx="0">
                  <c:v>SEB</c:v>
                </c:pt>
                <c:pt idx="1">
                  <c:v>BAML</c:v>
                </c:pt>
                <c:pt idx="2">
                  <c:v>JPM</c:v>
                </c:pt>
                <c:pt idx="3">
                  <c:v>UniCredit</c:v>
                </c:pt>
                <c:pt idx="4">
                  <c:v>Morgan Stanley</c:v>
                </c:pt>
                <c:pt idx="5">
                  <c:v>DAIWA</c:v>
                </c:pt>
                <c:pt idx="6">
                  <c:v>LBBW</c:v>
                </c:pt>
                <c:pt idx="7">
                  <c:v>DZ Bank</c:v>
                </c:pt>
                <c:pt idx="8">
                  <c:v>Credit Agricole</c:v>
                </c:pt>
                <c:pt idx="9">
                  <c:v>CITI</c:v>
                </c:pt>
                <c:pt idx="10">
                  <c:v>Commerzbank</c:v>
                </c:pt>
                <c:pt idx="11">
                  <c:v>Credit Suisse</c:v>
                </c:pt>
                <c:pt idx="12">
                  <c:v>TD Securities</c:v>
                </c:pt>
                <c:pt idx="13">
                  <c:v>HSBC</c:v>
                </c:pt>
                <c:pt idx="14">
                  <c:v>Swedbank</c:v>
                </c:pt>
                <c:pt idx="15">
                  <c:v>MIZUHO</c:v>
                </c:pt>
                <c:pt idx="16">
                  <c:v>DB</c:v>
                </c:pt>
                <c:pt idx="17">
                  <c:v>NOMURA</c:v>
                </c:pt>
              </c:strCache>
            </c:strRef>
          </c:cat>
          <c:val>
            <c:numRef>
              <c:f>Sheet1!$B$2:$B$19</c:f>
              <c:numCache>
                <c:formatCode>#,##0</c:formatCode>
                <c:ptCount val="18"/>
                <c:pt idx="0">
                  <c:v>4776453515</c:v>
                </c:pt>
                <c:pt idx="1">
                  <c:v>2575830500</c:v>
                </c:pt>
                <c:pt idx="2">
                  <c:v>2175381643</c:v>
                </c:pt>
                <c:pt idx="3">
                  <c:v>1986750000</c:v>
                </c:pt>
                <c:pt idx="4">
                  <c:v>1550000000</c:v>
                </c:pt>
                <c:pt idx="5">
                  <c:v>1207537974.4000001</c:v>
                </c:pt>
                <c:pt idx="6">
                  <c:v>1179810000</c:v>
                </c:pt>
                <c:pt idx="7">
                  <c:v>1179810000</c:v>
                </c:pt>
                <c:pt idx="8">
                  <c:v>1179810000</c:v>
                </c:pt>
                <c:pt idx="9">
                  <c:v>1000000000</c:v>
                </c:pt>
                <c:pt idx="10">
                  <c:v>806940000</c:v>
                </c:pt>
                <c:pt idx="11">
                  <c:v>510000000</c:v>
                </c:pt>
                <c:pt idx="12">
                  <c:v>493821925</c:v>
                </c:pt>
                <c:pt idx="13">
                  <c:v>490624286.60000002</c:v>
                </c:pt>
                <c:pt idx="14">
                  <c:v>467572050</c:v>
                </c:pt>
                <c:pt idx="15">
                  <c:v>342856040</c:v>
                </c:pt>
                <c:pt idx="16">
                  <c:v>336853200</c:v>
                </c:pt>
                <c:pt idx="17">
                  <c:v>293129435.97999978</c:v>
                </c:pt>
              </c:numCache>
            </c:numRef>
          </c:val>
        </c:ser>
        <c:axId val="96034816"/>
        <c:axId val="96036352"/>
      </c:barChart>
      <c:catAx>
        <c:axId val="96034816"/>
        <c:scaling>
          <c:orientation val="minMax"/>
        </c:scaling>
        <c:axPos val="b"/>
        <c:tickLblPos val="nextTo"/>
        <c:crossAx val="96036352"/>
        <c:crosses val="autoZero"/>
        <c:auto val="1"/>
        <c:lblAlgn val="ctr"/>
        <c:lblOffset val="100"/>
      </c:catAx>
      <c:valAx>
        <c:axId val="96036352"/>
        <c:scaling>
          <c:orientation val="minMax"/>
        </c:scaling>
        <c:axPos val="l"/>
        <c:majorGridlines/>
        <c:numFmt formatCode="#,##0" sourceLinked="1"/>
        <c:tickLblPos val="nextTo"/>
        <c:crossAx val="96034816"/>
        <c:crosses val="autoZero"/>
        <c:crossBetween val="between"/>
        <c:dispUnits>
          <c:builtInUnit val="billions"/>
          <c:dispUnitsLbl>
            <c:tx>
              <c:rich>
                <a:bodyPr/>
                <a:lstStyle/>
                <a:p>
                  <a:pPr>
                    <a:defRPr/>
                  </a:pPr>
                  <a:r>
                    <a:rPr lang="en-GB"/>
                    <a:t>Billions USD</a:t>
                  </a:r>
                </a:p>
              </c:rich>
            </c:tx>
          </c:dispUnitsLbl>
        </c:dispUnits>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lgn="ctr">
              <a:defRPr sz="1200"/>
            </a:pPr>
            <a:r>
              <a:rPr lang="en-GB" sz="1200"/>
              <a:t>Unlabelled bonds</a:t>
            </a:r>
            <a:r>
              <a:rPr lang="en-GB" sz="1200" baseline="0"/>
              <a:t>: amount outstanding  </a:t>
            </a:r>
            <a:r>
              <a:rPr lang="en-GB" sz="1050" b="0" baseline="0"/>
              <a:t>(up to Feb2013)</a:t>
            </a:r>
          </a:p>
        </c:rich>
      </c:tx>
    </c:title>
    <c:plotArea>
      <c:layout>
        <c:manualLayout>
          <c:layoutTarget val="inner"/>
          <c:xMode val="edge"/>
          <c:yMode val="edge"/>
          <c:x val="9.9437408685983247E-2"/>
          <c:y val="0.16000239265671901"/>
          <c:w val="0.87798459459808986"/>
          <c:h val="0.4304900595989038"/>
        </c:manualLayout>
      </c:layout>
      <c:barChart>
        <c:barDir val="col"/>
        <c:grouping val="clustered"/>
        <c:ser>
          <c:idx val="0"/>
          <c:order val="0"/>
          <c:spPr>
            <a:solidFill>
              <a:schemeClr val="accent5">
                <a:lumMod val="50000"/>
              </a:schemeClr>
            </a:solidFill>
          </c:spPr>
          <c:cat>
            <c:strRef>
              <c:f>charts!$D$2:$D$16</c:f>
              <c:strCache>
                <c:ptCount val="15"/>
                <c:pt idx="0">
                  <c:v>JP Morgan</c:v>
                </c:pt>
                <c:pt idx="1">
                  <c:v>BAML</c:v>
                </c:pt>
                <c:pt idx="2">
                  <c:v>Goldman Sachs</c:v>
                </c:pt>
                <c:pt idx="3">
                  <c:v>Credit Suisse</c:v>
                </c:pt>
                <c:pt idx="4">
                  <c:v>UBS</c:v>
                </c:pt>
                <c:pt idx="5">
                  <c:v>Barclays</c:v>
                </c:pt>
                <c:pt idx="6">
                  <c:v>China Citic Bank</c:v>
                </c:pt>
                <c:pt idx="7">
                  <c:v>Deutsche Bank</c:v>
                </c:pt>
                <c:pt idx="8">
                  <c:v>China Guotai Securities</c:v>
                </c:pt>
                <c:pt idx="9">
                  <c:v>HSBC</c:v>
                </c:pt>
                <c:pt idx="10">
                  <c:v>BOC International China Ltd</c:v>
                </c:pt>
                <c:pt idx="11">
                  <c:v>RBS</c:v>
                </c:pt>
                <c:pt idx="12">
                  <c:v>China Development Bank</c:v>
                </c:pt>
                <c:pt idx="13">
                  <c:v>Essence Securities Co Ltd</c:v>
                </c:pt>
                <c:pt idx="14">
                  <c:v>China Jianyin Investment Ltd</c:v>
                </c:pt>
              </c:strCache>
            </c:strRef>
          </c:cat>
          <c:val>
            <c:numRef>
              <c:f>charts!$E$2:$E$16</c:f>
              <c:numCache>
                <c:formatCode>#,##0</c:formatCode>
                <c:ptCount val="15"/>
                <c:pt idx="0">
                  <c:v>20156886961.873337</c:v>
                </c:pt>
                <c:pt idx="1">
                  <c:v>18604104080</c:v>
                </c:pt>
                <c:pt idx="2">
                  <c:v>15793974184.167065</c:v>
                </c:pt>
                <c:pt idx="3">
                  <c:v>14287280694.046009</c:v>
                </c:pt>
                <c:pt idx="4">
                  <c:v>12536911297.333336</c:v>
                </c:pt>
                <c:pt idx="5">
                  <c:v>11270729342.131819</c:v>
                </c:pt>
                <c:pt idx="6">
                  <c:v>10938023333.333332</c:v>
                </c:pt>
                <c:pt idx="7">
                  <c:v>10817963475.463812</c:v>
                </c:pt>
                <c:pt idx="8">
                  <c:v>10349669999.999996</c:v>
                </c:pt>
                <c:pt idx="9">
                  <c:v>9954136801.5333138</c:v>
                </c:pt>
                <c:pt idx="10">
                  <c:v>9386910000.0000038</c:v>
                </c:pt>
                <c:pt idx="11">
                  <c:v>8643389450.0000019</c:v>
                </c:pt>
                <c:pt idx="12">
                  <c:v>7263489333.3333321</c:v>
                </c:pt>
                <c:pt idx="13">
                  <c:v>7236746000.0000019</c:v>
                </c:pt>
                <c:pt idx="14">
                  <c:v>7140470000.0000019</c:v>
                </c:pt>
              </c:numCache>
            </c:numRef>
          </c:val>
        </c:ser>
        <c:axId val="96065024"/>
        <c:axId val="96066560"/>
      </c:barChart>
      <c:catAx>
        <c:axId val="96065024"/>
        <c:scaling>
          <c:orientation val="minMax"/>
        </c:scaling>
        <c:axPos val="b"/>
        <c:tickLblPos val="nextTo"/>
        <c:crossAx val="96066560"/>
        <c:crosses val="autoZero"/>
        <c:auto val="1"/>
        <c:lblAlgn val="ctr"/>
        <c:lblOffset val="100"/>
      </c:catAx>
      <c:valAx>
        <c:axId val="96066560"/>
        <c:scaling>
          <c:orientation val="minMax"/>
        </c:scaling>
        <c:axPos val="l"/>
        <c:majorGridlines/>
        <c:numFmt formatCode="#,##0" sourceLinked="1"/>
        <c:tickLblPos val="nextTo"/>
        <c:crossAx val="96065024"/>
        <c:crosses val="autoZero"/>
        <c:crossBetween val="between"/>
        <c:dispUnits>
          <c:builtInUnit val="billions"/>
          <c:dispUnitsLbl>
            <c:tx>
              <c:rich>
                <a:bodyPr/>
                <a:lstStyle/>
                <a:p>
                  <a:pPr>
                    <a:defRPr/>
                  </a:pPr>
                  <a:r>
                    <a:rPr lang="en-GB"/>
                    <a:t>Billion</a:t>
                  </a:r>
                  <a:r>
                    <a:rPr lang="en-GB" baseline="0"/>
                    <a:t> USD</a:t>
                  </a:r>
                  <a:endParaRPr lang="en-GB"/>
                </a:p>
              </c:rich>
            </c:tx>
          </c:dispUnitsLbl>
        </c:dispUnits>
      </c:valAx>
      <c:spPr>
        <a:noFill/>
        <a:ln w="25400">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1100"/>
            </a:pPr>
            <a:r>
              <a:rPr lang="en-GB" sz="1100"/>
              <a:t>Unlabelled green</a:t>
            </a:r>
            <a:r>
              <a:rPr lang="en-GB" sz="1100" baseline="0"/>
              <a:t> bonds: by </a:t>
            </a:r>
            <a:r>
              <a:rPr lang="en-GB" sz="1100"/>
              <a:t>Number of bonds underwritten by each lead manager </a:t>
            </a:r>
            <a:r>
              <a:rPr lang="en-GB" sz="1050" b="0"/>
              <a:t>(up to Feb 13)</a:t>
            </a:r>
          </a:p>
        </c:rich>
      </c:tx>
    </c:title>
    <c:plotArea>
      <c:layout/>
      <c:barChart>
        <c:barDir val="col"/>
        <c:grouping val="clustered"/>
        <c:ser>
          <c:idx val="0"/>
          <c:order val="0"/>
          <c:spPr>
            <a:solidFill>
              <a:schemeClr val="accent2"/>
            </a:solidFill>
          </c:spPr>
          <c:cat>
            <c:strRef>
              <c:f>charts!$L$2:$L$16</c:f>
              <c:strCache>
                <c:ptCount val="14"/>
                <c:pt idx="0">
                  <c:v>CITI</c:v>
                </c:pt>
                <c:pt idx="1">
                  <c:v>BARCBK</c:v>
                </c:pt>
                <c:pt idx="2">
                  <c:v>HSBC</c:v>
                </c:pt>
                <c:pt idx="3">
                  <c:v>JPM</c:v>
                </c:pt>
                <c:pt idx="4">
                  <c:v>CS</c:v>
                </c:pt>
                <c:pt idx="5">
                  <c:v>BAML</c:v>
                </c:pt>
                <c:pt idx="6">
                  <c:v>DB</c:v>
                </c:pt>
                <c:pt idx="7">
                  <c:v>UBS</c:v>
                </c:pt>
                <c:pt idx="8">
                  <c:v>GS</c:v>
                </c:pt>
                <c:pt idx="9">
                  <c:v>AXIS</c:v>
                </c:pt>
                <c:pt idx="10">
                  <c:v>SEB</c:v>
                </c:pt>
                <c:pt idx="11">
                  <c:v>CITIC</c:v>
                </c:pt>
                <c:pt idx="12">
                  <c:v>GUOTAI</c:v>
                </c:pt>
                <c:pt idx="13">
                  <c:v>BMO</c:v>
                </c:pt>
              </c:strCache>
            </c:strRef>
          </c:cat>
          <c:val>
            <c:numRef>
              <c:f>charts!$M$2:$M$16</c:f>
              <c:numCache>
                <c:formatCode>General</c:formatCode>
                <c:ptCount val="15"/>
                <c:pt idx="0">
                  <c:v>95</c:v>
                </c:pt>
                <c:pt idx="1">
                  <c:v>87</c:v>
                </c:pt>
                <c:pt idx="2">
                  <c:v>82</c:v>
                </c:pt>
                <c:pt idx="3">
                  <c:v>72</c:v>
                </c:pt>
                <c:pt idx="4">
                  <c:v>67</c:v>
                </c:pt>
                <c:pt idx="5">
                  <c:v>58</c:v>
                </c:pt>
                <c:pt idx="6">
                  <c:v>55</c:v>
                </c:pt>
                <c:pt idx="7">
                  <c:v>43</c:v>
                </c:pt>
                <c:pt idx="8">
                  <c:v>40</c:v>
                </c:pt>
                <c:pt idx="9">
                  <c:v>38</c:v>
                </c:pt>
                <c:pt idx="10">
                  <c:v>37</c:v>
                </c:pt>
                <c:pt idx="11">
                  <c:v>37</c:v>
                </c:pt>
                <c:pt idx="12">
                  <c:v>37</c:v>
                </c:pt>
                <c:pt idx="13">
                  <c:v>36</c:v>
                </c:pt>
              </c:numCache>
            </c:numRef>
          </c:val>
        </c:ser>
        <c:axId val="96162176"/>
        <c:axId val="96163712"/>
      </c:barChart>
      <c:catAx>
        <c:axId val="96162176"/>
        <c:scaling>
          <c:orientation val="minMax"/>
        </c:scaling>
        <c:axPos val="b"/>
        <c:tickLblPos val="nextTo"/>
        <c:txPr>
          <a:bodyPr/>
          <a:lstStyle/>
          <a:p>
            <a:pPr>
              <a:defRPr lang="en-GB"/>
            </a:pPr>
            <a:endParaRPr lang="es-ES"/>
          </a:p>
        </c:txPr>
        <c:crossAx val="96163712"/>
        <c:crosses val="autoZero"/>
        <c:auto val="1"/>
        <c:lblAlgn val="ctr"/>
        <c:lblOffset val="100"/>
      </c:catAx>
      <c:valAx>
        <c:axId val="96163712"/>
        <c:scaling>
          <c:orientation val="minMax"/>
        </c:scaling>
        <c:axPos val="l"/>
        <c:majorGridlines/>
        <c:numFmt formatCode="General" sourceLinked="1"/>
        <c:tickLblPos val="nextTo"/>
        <c:txPr>
          <a:bodyPr/>
          <a:lstStyle/>
          <a:p>
            <a:pPr>
              <a:defRPr lang="en-GB"/>
            </a:pPr>
            <a:endParaRPr lang="es-ES"/>
          </a:p>
        </c:txPr>
        <c:crossAx val="96162176"/>
        <c:crosses val="autoZero"/>
        <c:crossBetween val="between"/>
      </c:valAx>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XP Titan Ultimate Edition</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2013-09-26T12:18:00Z</dcterms:created>
  <dcterms:modified xsi:type="dcterms:W3CDTF">2013-09-26T12:18:00Z</dcterms:modified>
</cp:coreProperties>
</file>