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35A08" w14:textId="77777777" w:rsidR="00844CE1" w:rsidRDefault="00844CE1" w:rsidP="00D628FA">
      <w:pPr>
        <w:jc w:val="left"/>
        <w:rPr>
          <w:rFonts w:ascii="Calibri" w:eastAsia="SimSun" w:hAnsi="Calibri" w:cs="Calibri"/>
          <w:b/>
          <w:bCs/>
          <w:sz w:val="24"/>
          <w:szCs w:val="24"/>
        </w:rPr>
      </w:pPr>
      <w:bookmarkStart w:id="0" w:name="_Hlk97807596"/>
    </w:p>
    <w:p w14:paraId="47258FC4" w14:textId="4783B2E8" w:rsidR="0087484A" w:rsidRPr="00D628FA" w:rsidRDefault="0087484A" w:rsidP="00D628FA">
      <w:pPr>
        <w:jc w:val="left"/>
        <w:rPr>
          <w:rFonts w:ascii="Calibri" w:eastAsia="SimSun" w:hAnsi="Calibri" w:cs="Calibri"/>
          <w:b/>
          <w:bCs/>
          <w:sz w:val="24"/>
          <w:szCs w:val="24"/>
        </w:rPr>
      </w:pPr>
      <w:r w:rsidRPr="00D628FA">
        <w:rPr>
          <w:rFonts w:ascii="Calibri" w:eastAsia="SimSun" w:hAnsi="Calibri" w:cs="Calibri"/>
          <w:b/>
          <w:bCs/>
          <w:sz w:val="24"/>
          <w:szCs w:val="24"/>
        </w:rPr>
        <w:t>Media Release</w:t>
      </w:r>
    </w:p>
    <w:p w14:paraId="32E0A28F" w14:textId="77777777" w:rsidR="00F96B14" w:rsidRDefault="00F96B14" w:rsidP="00F96B14">
      <w:pPr>
        <w:spacing w:afterLines="50" w:after="156"/>
        <w:jc w:val="center"/>
        <w:rPr>
          <w:rFonts w:ascii="Calibri" w:eastAsia="SimSun" w:hAnsi="Calibri" w:cs="Calibri"/>
          <w:b/>
          <w:bCs/>
          <w:sz w:val="24"/>
          <w:szCs w:val="24"/>
        </w:rPr>
      </w:pPr>
    </w:p>
    <w:p w14:paraId="2026DB94" w14:textId="0216C626" w:rsidR="00A432C4" w:rsidRPr="004C263E" w:rsidRDefault="00AE6CDF" w:rsidP="004C263E">
      <w:pPr>
        <w:jc w:val="center"/>
        <w:rPr>
          <w:rFonts w:ascii="Calibri" w:hAnsi="Calibri" w:cs="Calibri"/>
          <w:b/>
          <w:bCs/>
          <w:sz w:val="28"/>
          <w:szCs w:val="28"/>
        </w:rPr>
      </w:pPr>
      <w:r w:rsidRPr="004C263E">
        <w:rPr>
          <w:rFonts w:ascii="Calibri" w:hAnsi="Calibri" w:cs="Calibri"/>
          <w:b/>
          <w:bCs/>
          <w:sz w:val="28"/>
          <w:szCs w:val="28"/>
        </w:rPr>
        <w:t xml:space="preserve">Eyes on the Tiger: </w:t>
      </w:r>
      <w:r w:rsidR="00A432C4" w:rsidRPr="004C263E">
        <w:rPr>
          <w:rFonts w:ascii="Calibri" w:hAnsi="Calibri" w:cs="Calibri"/>
          <w:b/>
          <w:bCs/>
          <w:sz w:val="28"/>
          <w:szCs w:val="28"/>
        </w:rPr>
        <w:t>Investors are looking for more, high-quality, green bonds issuances coming from China</w:t>
      </w:r>
    </w:p>
    <w:p w14:paraId="5C6D7EFF" w14:textId="764E0699" w:rsidR="00B92EAA" w:rsidRPr="004C263E" w:rsidRDefault="00032904" w:rsidP="00F96B14">
      <w:pPr>
        <w:spacing w:afterLines="50" w:after="156"/>
        <w:jc w:val="center"/>
        <w:rPr>
          <w:rFonts w:ascii="Calibri" w:eastAsia="SimSun" w:hAnsi="Calibri" w:cs="Calibri"/>
          <w:b/>
          <w:bCs/>
          <w:sz w:val="24"/>
          <w:szCs w:val="24"/>
        </w:rPr>
      </w:pPr>
      <w:r w:rsidRPr="004C263E">
        <w:rPr>
          <w:rFonts w:ascii="Calibri" w:eastAsia="SimSun" w:hAnsi="Calibri" w:cs="Calibri"/>
          <w:i/>
          <w:iCs/>
          <w:sz w:val="24"/>
          <w:szCs w:val="24"/>
        </w:rPr>
        <w:t xml:space="preserve">New Climate Bonds report reveals </w:t>
      </w:r>
      <w:r w:rsidR="00E57BE8" w:rsidRPr="004C263E">
        <w:rPr>
          <w:rFonts w:ascii="Calibri" w:hAnsi="Calibri" w:cs="Calibri"/>
          <w:i/>
          <w:iCs/>
          <w:sz w:val="24"/>
          <w:szCs w:val="24"/>
        </w:rPr>
        <w:t xml:space="preserve">Satisfactory </w:t>
      </w:r>
      <w:r w:rsidR="00370874" w:rsidRPr="004C263E">
        <w:rPr>
          <w:rFonts w:ascii="Calibri" w:hAnsi="Calibri" w:cs="Calibri"/>
          <w:i/>
          <w:iCs/>
          <w:sz w:val="24"/>
          <w:szCs w:val="24"/>
        </w:rPr>
        <w:t>G</w:t>
      </w:r>
      <w:r w:rsidR="00E57BE8" w:rsidRPr="004C263E">
        <w:rPr>
          <w:rFonts w:ascii="Calibri" w:hAnsi="Calibri" w:cs="Calibri"/>
          <w:i/>
          <w:iCs/>
          <w:sz w:val="24"/>
          <w:szCs w:val="24"/>
        </w:rPr>
        <w:t xml:space="preserve">reen Credentials and </w:t>
      </w:r>
      <w:r w:rsidR="005D226C" w:rsidRPr="004C263E">
        <w:rPr>
          <w:rFonts w:ascii="Calibri" w:hAnsi="Calibri" w:cs="Calibri"/>
          <w:i/>
          <w:iCs/>
          <w:sz w:val="24"/>
          <w:szCs w:val="24"/>
        </w:rPr>
        <w:t xml:space="preserve">Credit </w:t>
      </w:r>
      <w:r w:rsidR="00E57BE8" w:rsidRPr="004C263E">
        <w:rPr>
          <w:rFonts w:ascii="Calibri" w:hAnsi="Calibri" w:cs="Calibri"/>
          <w:i/>
          <w:iCs/>
          <w:sz w:val="24"/>
          <w:szCs w:val="24"/>
        </w:rPr>
        <w:t>Fundamentals</w:t>
      </w:r>
      <w:r w:rsidR="005D226C" w:rsidRPr="004C263E">
        <w:rPr>
          <w:rFonts w:ascii="Calibri" w:hAnsi="Calibri" w:cs="Calibri"/>
          <w:i/>
          <w:iCs/>
          <w:sz w:val="24"/>
          <w:szCs w:val="24"/>
        </w:rPr>
        <w:t xml:space="preserve"> </w:t>
      </w:r>
      <w:r w:rsidR="00106085" w:rsidRPr="004C263E">
        <w:rPr>
          <w:rFonts w:ascii="Calibri" w:hAnsi="Calibri" w:cs="Calibri"/>
          <w:i/>
          <w:iCs/>
          <w:sz w:val="24"/>
          <w:szCs w:val="24"/>
        </w:rPr>
        <w:t>as t</w:t>
      </w:r>
      <w:r w:rsidR="005D226C" w:rsidRPr="004C263E">
        <w:rPr>
          <w:rFonts w:ascii="Calibri" w:hAnsi="Calibri" w:cs="Calibri"/>
          <w:i/>
          <w:iCs/>
          <w:sz w:val="24"/>
          <w:szCs w:val="24"/>
        </w:rPr>
        <w:t xml:space="preserve">op </w:t>
      </w:r>
      <w:r w:rsidR="00106085" w:rsidRPr="004C263E">
        <w:rPr>
          <w:rFonts w:ascii="Calibri" w:hAnsi="Calibri" w:cs="Calibri"/>
          <w:i/>
          <w:iCs/>
          <w:sz w:val="24"/>
          <w:szCs w:val="24"/>
        </w:rPr>
        <w:t>p</w:t>
      </w:r>
      <w:r w:rsidR="005D226C" w:rsidRPr="004C263E">
        <w:rPr>
          <w:rFonts w:ascii="Calibri" w:hAnsi="Calibri" w:cs="Calibri"/>
          <w:i/>
          <w:iCs/>
          <w:sz w:val="24"/>
          <w:szCs w:val="24"/>
        </w:rPr>
        <w:t>riorities</w:t>
      </w:r>
      <w:r w:rsidR="00370874" w:rsidRPr="004C263E">
        <w:rPr>
          <w:rFonts w:ascii="Calibri" w:hAnsi="Calibri" w:cs="Calibri"/>
          <w:i/>
          <w:iCs/>
          <w:sz w:val="24"/>
          <w:szCs w:val="24"/>
        </w:rPr>
        <w:t xml:space="preserve"> </w:t>
      </w:r>
      <w:r w:rsidR="007C4512" w:rsidRPr="004C263E">
        <w:rPr>
          <w:rFonts w:ascii="Calibri" w:hAnsi="Calibri" w:cs="Calibri"/>
          <w:i/>
          <w:iCs/>
          <w:sz w:val="24"/>
          <w:szCs w:val="24"/>
        </w:rPr>
        <w:t xml:space="preserve">to </w:t>
      </w:r>
      <w:r w:rsidR="00106085" w:rsidRPr="004C263E">
        <w:rPr>
          <w:rFonts w:ascii="Calibri" w:hAnsi="Calibri" w:cs="Calibri"/>
          <w:i/>
          <w:iCs/>
          <w:sz w:val="24"/>
          <w:szCs w:val="24"/>
        </w:rPr>
        <w:t>f</w:t>
      </w:r>
      <w:r w:rsidR="007C4512" w:rsidRPr="004C263E">
        <w:rPr>
          <w:rFonts w:ascii="Calibri" w:hAnsi="Calibri" w:cs="Calibri"/>
          <w:i/>
          <w:iCs/>
          <w:sz w:val="24"/>
          <w:szCs w:val="24"/>
        </w:rPr>
        <w:t>ulfil Investor</w:t>
      </w:r>
      <w:r w:rsidR="00A432C4" w:rsidRPr="004C263E">
        <w:rPr>
          <w:rFonts w:ascii="Calibri" w:hAnsi="Calibri" w:cs="Calibri"/>
          <w:i/>
          <w:iCs/>
          <w:sz w:val="24"/>
          <w:szCs w:val="24"/>
        </w:rPr>
        <w:t>s’ needs.</w:t>
      </w:r>
    </w:p>
    <w:p w14:paraId="0511F430" w14:textId="77777777" w:rsidR="00106085" w:rsidRDefault="00106085" w:rsidP="00051A3A">
      <w:pPr>
        <w:jc w:val="left"/>
        <w:rPr>
          <w:rFonts w:ascii="Calibri" w:eastAsia="SimSun" w:hAnsi="Calibri" w:cs="Calibri"/>
          <w:b/>
          <w:bCs/>
          <w:sz w:val="24"/>
          <w:szCs w:val="24"/>
        </w:rPr>
      </w:pPr>
    </w:p>
    <w:p w14:paraId="19201EA6" w14:textId="10416AB9" w:rsidR="00525EFD" w:rsidRDefault="0087484A" w:rsidP="00106085">
      <w:pPr>
        <w:rPr>
          <w:rFonts w:ascii="Calibri" w:eastAsia="SimSun" w:hAnsi="Calibri" w:cs="Calibri"/>
          <w:sz w:val="24"/>
          <w:szCs w:val="24"/>
        </w:rPr>
      </w:pPr>
      <w:r w:rsidRPr="00D628FA">
        <w:rPr>
          <w:rFonts w:ascii="Calibri" w:eastAsia="SimSun" w:hAnsi="Calibri" w:cs="Calibri"/>
          <w:b/>
          <w:bCs/>
          <w:sz w:val="24"/>
          <w:szCs w:val="24"/>
        </w:rPr>
        <w:t xml:space="preserve">London/Beijing: </w:t>
      </w:r>
      <w:r w:rsidR="0015405F">
        <w:rPr>
          <w:rFonts w:ascii="Calibri" w:eastAsia="SimSun" w:hAnsi="Calibri" w:cs="Calibri"/>
          <w:b/>
          <w:bCs/>
          <w:sz w:val="24"/>
          <w:szCs w:val="24"/>
        </w:rPr>
        <w:t>05</w:t>
      </w:r>
      <w:r w:rsidRPr="00D628FA">
        <w:rPr>
          <w:rFonts w:ascii="Calibri" w:eastAsia="SimSun" w:hAnsi="Calibri" w:cs="Calibri"/>
          <w:b/>
          <w:bCs/>
          <w:sz w:val="24"/>
          <w:szCs w:val="24"/>
        </w:rPr>
        <w:t>/0</w:t>
      </w:r>
      <w:r w:rsidR="0015405F">
        <w:rPr>
          <w:rFonts w:ascii="Calibri" w:eastAsia="SimSun" w:hAnsi="Calibri" w:cs="Calibri"/>
          <w:b/>
          <w:bCs/>
          <w:sz w:val="24"/>
          <w:szCs w:val="24"/>
        </w:rPr>
        <w:t>5</w:t>
      </w:r>
      <w:r w:rsidRPr="00D628FA">
        <w:rPr>
          <w:rFonts w:ascii="Calibri" w:eastAsia="SimSun" w:hAnsi="Calibri" w:cs="Calibri"/>
          <w:b/>
          <w:bCs/>
          <w:sz w:val="24"/>
          <w:szCs w:val="24"/>
        </w:rPr>
        <w:t xml:space="preserve">/2022: </w:t>
      </w:r>
      <w:r w:rsidR="00C50104">
        <w:rPr>
          <w:rFonts w:ascii="Calibri" w:eastAsia="SimSun" w:hAnsi="Calibri" w:cs="Calibri"/>
          <w:b/>
          <w:bCs/>
          <w:sz w:val="24"/>
          <w:szCs w:val="24"/>
        </w:rPr>
        <w:t>16</w:t>
      </w:r>
      <w:r w:rsidRPr="00D628FA">
        <w:rPr>
          <w:rFonts w:ascii="Calibri" w:eastAsia="SimSun" w:hAnsi="Calibri" w:cs="Calibri"/>
          <w:b/>
          <w:bCs/>
          <w:sz w:val="24"/>
          <w:szCs w:val="24"/>
        </w:rPr>
        <w:t>:00 (GMT+8):</w:t>
      </w:r>
      <w:r w:rsidR="00975527" w:rsidRPr="00D628FA">
        <w:rPr>
          <w:rFonts w:ascii="Calibri" w:eastAsia="SimSun" w:hAnsi="Calibri" w:cs="Calibri"/>
          <w:sz w:val="24"/>
          <w:szCs w:val="24"/>
        </w:rPr>
        <w:t xml:space="preserve"> </w:t>
      </w:r>
      <w:r w:rsidR="00A432C4" w:rsidRPr="00102B60">
        <w:rPr>
          <w:rFonts w:ascii="Calibri" w:eastAsia="SimSun" w:hAnsi="Calibri" w:cs="Calibri"/>
          <w:sz w:val="24"/>
          <w:szCs w:val="24"/>
        </w:rPr>
        <w:t>Climate Bonds Initiative</w:t>
      </w:r>
      <w:r w:rsidR="00A432C4">
        <w:rPr>
          <w:rFonts w:ascii="Calibri" w:eastAsia="SimSun" w:hAnsi="Calibri" w:cs="Calibri"/>
          <w:sz w:val="24"/>
          <w:szCs w:val="24"/>
        </w:rPr>
        <w:t xml:space="preserve"> </w:t>
      </w:r>
      <w:r w:rsidR="00A432C4" w:rsidRPr="00102B60">
        <w:rPr>
          <w:rFonts w:ascii="Calibri" w:eastAsia="SimSun" w:hAnsi="Calibri" w:cs="Calibri"/>
          <w:sz w:val="24"/>
          <w:szCs w:val="24"/>
        </w:rPr>
        <w:t xml:space="preserve">and </w:t>
      </w:r>
      <w:proofErr w:type="spellStart"/>
      <w:r w:rsidR="00A432C4" w:rsidRPr="00102B60">
        <w:rPr>
          <w:rFonts w:ascii="Calibri" w:eastAsia="SimSun" w:hAnsi="Calibri" w:cs="Calibri"/>
          <w:sz w:val="24"/>
          <w:szCs w:val="24"/>
        </w:rPr>
        <w:t>SynTao</w:t>
      </w:r>
      <w:proofErr w:type="spellEnd"/>
      <w:r w:rsidR="00A432C4" w:rsidRPr="00102B60">
        <w:rPr>
          <w:rFonts w:ascii="Calibri" w:eastAsia="SimSun" w:hAnsi="Calibri" w:cs="Calibri"/>
          <w:sz w:val="24"/>
          <w:szCs w:val="24"/>
        </w:rPr>
        <w:t xml:space="preserve"> Green Finance</w:t>
      </w:r>
      <w:r w:rsidR="00A432C4">
        <w:rPr>
          <w:rFonts w:ascii="Calibri" w:eastAsia="SimSun" w:hAnsi="Calibri" w:cs="Calibri"/>
          <w:sz w:val="24"/>
          <w:szCs w:val="24"/>
        </w:rPr>
        <w:t xml:space="preserve">, with the support of </w:t>
      </w:r>
      <w:r w:rsidR="00A432C4" w:rsidRPr="00102B60">
        <w:rPr>
          <w:rFonts w:ascii="Calibri" w:eastAsia="SimSun" w:hAnsi="Calibri" w:cs="Calibri"/>
          <w:sz w:val="24"/>
          <w:szCs w:val="24"/>
        </w:rPr>
        <w:t>H</w:t>
      </w:r>
      <w:r w:rsidR="00A432C4">
        <w:rPr>
          <w:rFonts w:ascii="Calibri" w:eastAsia="SimSun" w:hAnsi="Calibri" w:cs="Calibri"/>
          <w:sz w:val="24"/>
          <w:szCs w:val="24"/>
        </w:rPr>
        <w:t>ong Kong Exchanges and Clearing Limited (HKEX)</w:t>
      </w:r>
      <w:r w:rsidR="00A432C4" w:rsidRPr="00102B60">
        <w:rPr>
          <w:rFonts w:ascii="Calibri" w:eastAsia="SimSun" w:hAnsi="Calibri" w:cs="Calibri"/>
          <w:sz w:val="24"/>
          <w:szCs w:val="24"/>
        </w:rPr>
        <w:t xml:space="preserve"> and Natixis </w:t>
      </w:r>
      <w:r w:rsidR="001B3410">
        <w:rPr>
          <w:rFonts w:ascii="Calibri" w:eastAsia="SimSun" w:hAnsi="Calibri" w:cs="Calibri"/>
          <w:sz w:val="24"/>
          <w:szCs w:val="24"/>
        </w:rPr>
        <w:t xml:space="preserve">Corporate </w:t>
      </w:r>
      <w:r w:rsidR="00CF2940">
        <w:rPr>
          <w:rFonts w:ascii="Calibri" w:eastAsia="SimSun" w:hAnsi="Calibri" w:cs="Calibri"/>
          <w:sz w:val="24"/>
          <w:szCs w:val="24"/>
        </w:rPr>
        <w:t xml:space="preserve">&amp; </w:t>
      </w:r>
      <w:r w:rsidR="00A432C4">
        <w:rPr>
          <w:rFonts w:ascii="Calibri" w:eastAsia="SimSun" w:hAnsi="Calibri" w:cs="Calibri"/>
          <w:sz w:val="24"/>
          <w:szCs w:val="24"/>
        </w:rPr>
        <w:t>Investment Banking (Natixis CIB) have today launched t</w:t>
      </w:r>
      <w:r w:rsidR="00A432C4" w:rsidRPr="00102B60">
        <w:rPr>
          <w:rFonts w:ascii="Calibri" w:eastAsia="SimSun" w:hAnsi="Calibri" w:cs="Calibri"/>
          <w:sz w:val="24"/>
          <w:szCs w:val="24"/>
        </w:rPr>
        <w:t xml:space="preserve">he </w:t>
      </w:r>
      <w:hyperlink r:id="rId7" w:history="1">
        <w:r w:rsidR="00A432C4" w:rsidRPr="00C50104">
          <w:rPr>
            <w:rStyle w:val="Hyperlink"/>
            <w:rFonts w:ascii="Calibri" w:eastAsia="SimSun" w:hAnsi="Calibri" w:cs="Calibri"/>
            <w:sz w:val="24"/>
            <w:szCs w:val="24"/>
          </w:rPr>
          <w:t>Green Bond China Investor Survey 2022 report</w:t>
        </w:r>
      </w:hyperlink>
      <w:r w:rsidR="00A432C4">
        <w:rPr>
          <w:rFonts w:ascii="Calibri" w:eastAsia="SimSun" w:hAnsi="Calibri" w:cs="Calibri"/>
          <w:sz w:val="24"/>
          <w:szCs w:val="24"/>
        </w:rPr>
        <w:t xml:space="preserve">. </w:t>
      </w:r>
    </w:p>
    <w:p w14:paraId="25C71B38" w14:textId="626C07DC" w:rsidR="00032904" w:rsidRDefault="00032904" w:rsidP="00106085">
      <w:pPr>
        <w:rPr>
          <w:rFonts w:ascii="Calibri" w:eastAsia="SimSun" w:hAnsi="Calibri" w:cs="Calibri"/>
          <w:sz w:val="24"/>
          <w:szCs w:val="24"/>
        </w:rPr>
      </w:pPr>
    </w:p>
    <w:p w14:paraId="0ECA7AFA" w14:textId="62416B48" w:rsidR="00190661" w:rsidRPr="00190661" w:rsidRDefault="00190661" w:rsidP="00106085">
      <w:pPr>
        <w:rPr>
          <w:rFonts w:ascii="Calibri" w:eastAsia="SimSun" w:hAnsi="Calibri" w:cs="Calibri"/>
          <w:b/>
          <w:bCs/>
          <w:sz w:val="24"/>
          <w:szCs w:val="24"/>
        </w:rPr>
      </w:pPr>
      <w:r w:rsidRPr="00190661">
        <w:rPr>
          <w:rFonts w:ascii="Calibri" w:eastAsia="SimSun" w:hAnsi="Calibri" w:cs="Calibri"/>
          <w:b/>
          <w:bCs/>
          <w:sz w:val="24"/>
          <w:szCs w:val="24"/>
        </w:rPr>
        <w:t>The Survey</w:t>
      </w:r>
    </w:p>
    <w:p w14:paraId="0ECCD372" w14:textId="77777777" w:rsidR="00190661" w:rsidRDefault="00190661" w:rsidP="00106085">
      <w:pPr>
        <w:rPr>
          <w:rFonts w:ascii="Calibri" w:eastAsia="SimSun" w:hAnsi="Calibri" w:cs="Calibri"/>
          <w:sz w:val="24"/>
          <w:szCs w:val="24"/>
        </w:rPr>
      </w:pPr>
    </w:p>
    <w:p w14:paraId="28ED5D36" w14:textId="49CAA963" w:rsidR="00032904" w:rsidRDefault="00190661" w:rsidP="00106085">
      <w:pPr>
        <w:rPr>
          <w:rFonts w:ascii="Calibri" w:eastAsia="SimSun" w:hAnsi="Calibri" w:cs="Calibri"/>
          <w:sz w:val="24"/>
          <w:szCs w:val="24"/>
          <w:lang w:val="en-GB"/>
        </w:rPr>
      </w:pPr>
      <w:r>
        <w:rPr>
          <w:rFonts w:ascii="Calibri" w:eastAsia="SimSun" w:hAnsi="Calibri" w:cs="Calibri"/>
          <w:sz w:val="24"/>
          <w:szCs w:val="24"/>
        </w:rPr>
        <w:t>Conducted</w:t>
      </w:r>
      <w:r w:rsidR="00032904">
        <w:rPr>
          <w:rFonts w:ascii="Calibri" w:hAnsi="Calibri" w:cs="Calibri"/>
          <w:sz w:val="24"/>
          <w:szCs w:val="24"/>
        </w:rPr>
        <w:t xml:space="preserve"> with</w:t>
      </w:r>
      <w:r>
        <w:rPr>
          <w:rFonts w:ascii="Calibri" w:hAnsi="Calibri" w:cs="Calibri"/>
          <w:sz w:val="24"/>
          <w:szCs w:val="24"/>
        </w:rPr>
        <w:t xml:space="preserve"> 42 investment institutions among</w:t>
      </w:r>
      <w:r w:rsidR="00032904">
        <w:rPr>
          <w:rFonts w:ascii="Calibri" w:hAnsi="Calibri" w:cs="Calibri"/>
          <w:sz w:val="24"/>
          <w:szCs w:val="24"/>
        </w:rPr>
        <w:t xml:space="preserve"> largest </w:t>
      </w:r>
      <w:r>
        <w:rPr>
          <w:rFonts w:ascii="Calibri" w:hAnsi="Calibri" w:cs="Calibri"/>
          <w:sz w:val="24"/>
          <w:szCs w:val="24"/>
        </w:rPr>
        <w:t>domestic</w:t>
      </w:r>
      <w:r w:rsidR="00032904">
        <w:rPr>
          <w:rFonts w:ascii="Calibri" w:hAnsi="Calibri" w:cs="Calibri"/>
          <w:sz w:val="24"/>
          <w:szCs w:val="24"/>
        </w:rPr>
        <w:t xml:space="preserve"> and international green bond investors,</w:t>
      </w:r>
      <w:r w:rsidR="00032904">
        <w:rPr>
          <w:rFonts w:ascii="Calibri" w:eastAsia="SimSun" w:hAnsi="Calibri" w:cs="Calibri"/>
          <w:sz w:val="24"/>
          <w:szCs w:val="24"/>
        </w:rPr>
        <w:t xml:space="preserve"> </w:t>
      </w:r>
      <w:r>
        <w:rPr>
          <w:rFonts w:ascii="Calibri" w:eastAsia="SimSun" w:hAnsi="Calibri" w:cs="Calibri"/>
          <w:sz w:val="24"/>
          <w:szCs w:val="24"/>
        </w:rPr>
        <w:t xml:space="preserve">the survey </w:t>
      </w:r>
      <w:r w:rsidR="00032904">
        <w:rPr>
          <w:rFonts w:ascii="Calibri" w:eastAsia="SimSun" w:hAnsi="Calibri" w:cs="Calibri"/>
          <w:sz w:val="24"/>
          <w:szCs w:val="24"/>
        </w:rPr>
        <w:t xml:space="preserve">reveals that satisfactory </w:t>
      </w:r>
      <w:r w:rsidR="00032904" w:rsidRPr="00BD790C">
        <w:rPr>
          <w:rFonts w:ascii="Calibri" w:eastAsia="SimSun" w:hAnsi="Calibri" w:cs="Calibri"/>
          <w:sz w:val="24"/>
          <w:szCs w:val="24"/>
        </w:rPr>
        <w:t>green credentials and credit fundamentals</w:t>
      </w:r>
      <w:r w:rsidR="00032904">
        <w:rPr>
          <w:rFonts w:ascii="Calibri" w:eastAsia="SimSun" w:hAnsi="Calibri" w:cs="Calibri"/>
          <w:sz w:val="24"/>
          <w:szCs w:val="24"/>
        </w:rPr>
        <w:t xml:space="preserve"> </w:t>
      </w:r>
      <w:r w:rsidR="008041E3">
        <w:rPr>
          <w:rFonts w:ascii="Calibri" w:eastAsia="SimSun" w:hAnsi="Calibri" w:cs="Calibri"/>
          <w:sz w:val="24"/>
          <w:szCs w:val="24"/>
        </w:rPr>
        <w:t xml:space="preserve">are </w:t>
      </w:r>
      <w:r w:rsidR="00032904">
        <w:rPr>
          <w:rFonts w:ascii="Calibri" w:eastAsia="SimSun" w:hAnsi="Calibri" w:cs="Calibri"/>
          <w:sz w:val="24"/>
          <w:szCs w:val="24"/>
        </w:rPr>
        <w:t xml:space="preserve">top priorities </w:t>
      </w:r>
      <w:r w:rsidR="008041E3">
        <w:rPr>
          <w:rFonts w:ascii="Calibri" w:eastAsia="SimSun" w:hAnsi="Calibri" w:cs="Calibri"/>
          <w:sz w:val="24"/>
          <w:szCs w:val="24"/>
          <w:lang w:val="en-GB"/>
        </w:rPr>
        <w:t xml:space="preserve">for </w:t>
      </w:r>
      <w:r w:rsidR="00032904">
        <w:rPr>
          <w:rFonts w:ascii="Calibri" w:eastAsia="SimSun" w:hAnsi="Calibri" w:cs="Calibri"/>
          <w:sz w:val="24"/>
          <w:szCs w:val="24"/>
          <w:lang w:val="en-GB"/>
        </w:rPr>
        <w:t>further</w:t>
      </w:r>
      <w:r w:rsidR="008041E3">
        <w:rPr>
          <w:rFonts w:ascii="Calibri" w:eastAsia="SimSun" w:hAnsi="Calibri" w:cs="Calibri"/>
          <w:sz w:val="24"/>
          <w:szCs w:val="24"/>
          <w:lang w:val="en-GB"/>
        </w:rPr>
        <w:t>ing</w:t>
      </w:r>
      <w:r w:rsidR="00032904">
        <w:rPr>
          <w:rFonts w:ascii="Calibri" w:eastAsia="SimSun" w:hAnsi="Calibri" w:cs="Calibri"/>
          <w:sz w:val="24"/>
          <w:szCs w:val="24"/>
          <w:lang w:val="en-GB"/>
        </w:rPr>
        <w:t xml:space="preserve"> the appeal of green bonds coming from China. </w:t>
      </w:r>
    </w:p>
    <w:p w14:paraId="6650DF46" w14:textId="47925B64" w:rsidR="00190661" w:rsidRDefault="00190661" w:rsidP="00106085">
      <w:pPr>
        <w:rPr>
          <w:rFonts w:ascii="Calibri" w:eastAsia="SimSun" w:hAnsi="Calibri" w:cs="Calibri"/>
          <w:sz w:val="24"/>
          <w:szCs w:val="24"/>
          <w:lang w:val="en-GB"/>
        </w:rPr>
      </w:pPr>
    </w:p>
    <w:p w14:paraId="54C8F8CC" w14:textId="6AB99D7B" w:rsidR="00190661" w:rsidRDefault="00190661" w:rsidP="00190661">
      <w:pPr>
        <w:jc w:val="center"/>
        <w:rPr>
          <w:rFonts w:ascii="Calibri" w:eastAsia="SimSun" w:hAnsi="Calibri" w:cs="Calibri"/>
          <w:sz w:val="24"/>
          <w:szCs w:val="24"/>
          <w:lang w:val="en-GB"/>
        </w:rPr>
      </w:pPr>
      <w:r>
        <w:rPr>
          <w:rFonts w:ascii="Calibri" w:eastAsia="SimSun" w:hAnsi="Calibri" w:cs="Calibri"/>
          <w:noProof/>
          <w:sz w:val="24"/>
          <w:szCs w:val="24"/>
          <w:lang w:val="en-GB"/>
        </w:rPr>
        <w:drawing>
          <wp:inline distT="0" distB="0" distL="0" distR="0" wp14:anchorId="37AE6291" wp14:editId="70D57AF4">
            <wp:extent cx="1512707" cy="1941682"/>
            <wp:effectExtent l="0" t="0" r="0" b="1905"/>
            <wp:docPr id="2" name="Picture 2"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sunburst 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112" cy="1956321"/>
                    </a:xfrm>
                    <a:prstGeom prst="rect">
                      <a:avLst/>
                    </a:prstGeom>
                  </pic:spPr>
                </pic:pic>
              </a:graphicData>
            </a:graphic>
          </wp:inline>
        </w:drawing>
      </w:r>
      <w:r>
        <w:rPr>
          <w:rFonts w:ascii="Calibri" w:eastAsia="SimSun" w:hAnsi="Calibri" w:cs="Calibri"/>
          <w:noProof/>
          <w:sz w:val="24"/>
          <w:szCs w:val="24"/>
          <w:lang w:val="en-GB"/>
        </w:rPr>
        <w:drawing>
          <wp:inline distT="0" distB="0" distL="0" distR="0" wp14:anchorId="6DDB648D" wp14:editId="06ABDB3C">
            <wp:extent cx="1519488" cy="1699575"/>
            <wp:effectExtent l="0" t="0" r="5080" b="2540"/>
            <wp:docPr id="4" name="Picture 4" descr="A picture containing text, electronics, compact di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electronics, compact disk&#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4672" cy="1727744"/>
                    </a:xfrm>
                    <a:prstGeom prst="rect">
                      <a:avLst/>
                    </a:prstGeom>
                  </pic:spPr>
                </pic:pic>
              </a:graphicData>
            </a:graphic>
          </wp:inline>
        </w:drawing>
      </w:r>
    </w:p>
    <w:p w14:paraId="4D2892F9" w14:textId="77777777" w:rsidR="00032904" w:rsidRDefault="00032904" w:rsidP="00106085">
      <w:pPr>
        <w:rPr>
          <w:rFonts w:ascii="Calibri" w:eastAsia="SimSun" w:hAnsi="Calibri" w:cs="Calibri"/>
          <w:sz w:val="24"/>
          <w:szCs w:val="24"/>
          <w:lang w:val="en-GB"/>
        </w:rPr>
      </w:pPr>
    </w:p>
    <w:p w14:paraId="79FC38B7" w14:textId="53F977DF" w:rsidR="00032904" w:rsidRPr="00032904" w:rsidRDefault="00032904" w:rsidP="00032904">
      <w:pPr>
        <w:rPr>
          <w:rFonts w:ascii="Calibri" w:hAnsi="Calibri" w:cs="Calibri"/>
          <w:sz w:val="24"/>
          <w:szCs w:val="24"/>
        </w:rPr>
      </w:pPr>
      <w:r>
        <w:rPr>
          <w:rFonts w:ascii="Calibri" w:eastAsia="SimSun" w:hAnsi="Calibri" w:cs="Calibri"/>
          <w:sz w:val="24"/>
          <w:szCs w:val="24"/>
          <w:lang w:val="en-GB"/>
        </w:rPr>
        <w:t>Currently t</w:t>
      </w:r>
      <w:r>
        <w:rPr>
          <w:rFonts w:ascii="Calibri" w:hAnsi="Calibri" w:cs="Calibri"/>
          <w:sz w:val="24"/>
          <w:szCs w:val="24"/>
        </w:rPr>
        <w:t>he third largest country source of sustainable debt issuance globally, China</w:t>
      </w:r>
      <w:r w:rsidR="00A710BF">
        <w:rPr>
          <w:rFonts w:ascii="Calibri" w:hAnsi="Calibri" w:cs="Calibri"/>
          <w:sz w:val="24"/>
          <w:szCs w:val="24"/>
        </w:rPr>
        <w:t xml:space="preserve"> announced in </w:t>
      </w:r>
      <w:r w:rsidR="00DD2E32">
        <w:rPr>
          <w:rFonts w:ascii="Calibri" w:hAnsi="Calibri" w:cs="Calibri"/>
          <w:sz w:val="24"/>
          <w:szCs w:val="24"/>
        </w:rPr>
        <w:t xml:space="preserve">September </w:t>
      </w:r>
      <w:r w:rsidR="00E133D3">
        <w:rPr>
          <w:rFonts w:ascii="Calibri" w:hAnsi="Calibri" w:cs="Calibri"/>
          <w:sz w:val="24"/>
          <w:szCs w:val="24"/>
        </w:rPr>
        <w:t>2020</w:t>
      </w:r>
      <w:r w:rsidRPr="00032904">
        <w:rPr>
          <w:rFonts w:ascii="Calibri" w:hAnsi="Calibri" w:cs="Calibri"/>
          <w:sz w:val="24"/>
          <w:szCs w:val="24"/>
        </w:rPr>
        <w:t xml:space="preserve"> a new set of targets for carbon peaking by 2030 and carbon neutrality by 2060</w:t>
      </w:r>
      <w:r>
        <w:rPr>
          <w:rFonts w:ascii="Calibri" w:hAnsi="Calibri" w:cs="Calibri"/>
          <w:sz w:val="24"/>
          <w:szCs w:val="24"/>
        </w:rPr>
        <w:t xml:space="preserve">. These </w:t>
      </w:r>
      <w:r w:rsidRPr="00032904">
        <w:rPr>
          <w:rFonts w:ascii="Calibri" w:hAnsi="Calibri" w:cs="Calibri"/>
          <w:sz w:val="24"/>
          <w:szCs w:val="24"/>
        </w:rPr>
        <w:t xml:space="preserve">are known as the 30.60 targets and expected to help deliver China’s Paris Agreement commitment. </w:t>
      </w:r>
    </w:p>
    <w:p w14:paraId="4CB7BA5F" w14:textId="325C964C" w:rsidR="00032904" w:rsidRDefault="00032904" w:rsidP="00106085">
      <w:pPr>
        <w:rPr>
          <w:rFonts w:ascii="Calibri" w:hAnsi="Calibri" w:cs="Calibri"/>
          <w:sz w:val="24"/>
          <w:szCs w:val="24"/>
        </w:rPr>
      </w:pPr>
    </w:p>
    <w:p w14:paraId="24FEA2F3" w14:textId="707A6C08" w:rsidR="0010451D" w:rsidRPr="0010451D" w:rsidRDefault="0010451D" w:rsidP="00106085">
      <w:pPr>
        <w:rPr>
          <w:rFonts w:ascii="Calibri" w:hAnsi="Calibri" w:cs="Calibri"/>
          <w:b/>
          <w:bCs/>
          <w:sz w:val="24"/>
          <w:szCs w:val="24"/>
        </w:rPr>
      </w:pPr>
      <w:r w:rsidRPr="0010451D">
        <w:rPr>
          <w:rFonts w:ascii="Calibri" w:hAnsi="Calibri" w:cs="Calibri"/>
          <w:b/>
          <w:bCs/>
          <w:sz w:val="24"/>
          <w:szCs w:val="24"/>
        </w:rPr>
        <w:t>Investors’ Expectations</w:t>
      </w:r>
    </w:p>
    <w:p w14:paraId="30155EEC" w14:textId="77777777" w:rsidR="0010451D" w:rsidRPr="00032904" w:rsidRDefault="0010451D" w:rsidP="00106085">
      <w:pPr>
        <w:rPr>
          <w:rFonts w:ascii="Calibri" w:hAnsi="Calibri" w:cs="Calibri"/>
          <w:sz w:val="24"/>
          <w:szCs w:val="24"/>
        </w:rPr>
      </w:pPr>
    </w:p>
    <w:p w14:paraId="7318351D" w14:textId="5480E463" w:rsidR="00DE7964" w:rsidRDefault="008041E3" w:rsidP="00525EFD">
      <w:pPr>
        <w:rPr>
          <w:rFonts w:ascii="Calibri" w:hAnsi="Calibri" w:cs="Calibri"/>
          <w:sz w:val="24"/>
          <w:szCs w:val="24"/>
        </w:rPr>
      </w:pPr>
      <w:r>
        <w:rPr>
          <w:rFonts w:ascii="Calibri" w:hAnsi="Calibri" w:cs="Calibri"/>
          <w:sz w:val="24"/>
          <w:szCs w:val="24"/>
        </w:rPr>
        <w:t>I</w:t>
      </w:r>
      <w:r w:rsidR="00032904">
        <w:rPr>
          <w:rFonts w:ascii="Calibri" w:hAnsi="Calibri" w:cs="Calibri"/>
          <w:sz w:val="24"/>
          <w:szCs w:val="24"/>
        </w:rPr>
        <w:t xml:space="preserve">nvestors </w:t>
      </w:r>
      <w:r w:rsidR="00032904" w:rsidRPr="00102B60">
        <w:rPr>
          <w:rFonts w:ascii="Calibri" w:hAnsi="Calibri" w:cs="Calibri"/>
          <w:sz w:val="24"/>
          <w:szCs w:val="24"/>
        </w:rPr>
        <w:t>with exposure to the Chinese market have incorporated Chinese green bonds into their investment policies</w:t>
      </w:r>
      <w:r w:rsidR="00F46410">
        <w:rPr>
          <w:rFonts w:ascii="Calibri" w:hAnsi="Calibri" w:cs="Calibri"/>
          <w:sz w:val="24"/>
          <w:szCs w:val="24"/>
        </w:rPr>
        <w:t xml:space="preserve"> and the rife demand for these instruments shows no sign </w:t>
      </w:r>
      <w:r w:rsidR="00F46410">
        <w:rPr>
          <w:rFonts w:ascii="Calibri" w:hAnsi="Calibri" w:cs="Calibri"/>
          <w:sz w:val="24"/>
          <w:szCs w:val="24"/>
        </w:rPr>
        <w:lastRenderedPageBreak/>
        <w:t xml:space="preserve">of decelerating.  </w:t>
      </w:r>
      <w:bookmarkEnd w:id="0"/>
    </w:p>
    <w:p w14:paraId="01CD6A0F" w14:textId="35FE628E" w:rsidR="00102B60" w:rsidRPr="00DE7964" w:rsidRDefault="009C6BE2" w:rsidP="00DE7964">
      <w:pPr>
        <w:rPr>
          <w:rFonts w:ascii="Calibri" w:eastAsia="SimSun" w:hAnsi="Calibri" w:cs="Calibri"/>
          <w:sz w:val="24"/>
          <w:szCs w:val="24"/>
        </w:rPr>
      </w:pPr>
      <w:r>
        <w:rPr>
          <w:rFonts w:ascii="Calibri" w:eastAsia="SimSun" w:hAnsi="Calibri" w:cs="Calibri"/>
          <w:noProof/>
          <w:sz w:val="24"/>
          <w:szCs w:val="24"/>
        </w:rPr>
        <w:drawing>
          <wp:inline distT="0" distB="0" distL="0" distR="0" wp14:anchorId="7B17BEF1" wp14:editId="6260DAF1">
            <wp:extent cx="3194596" cy="2623060"/>
            <wp:effectExtent l="0" t="0" r="0" b="6350"/>
            <wp:docPr id="6" name="Picture 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ar 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38492" cy="2659103"/>
                    </a:xfrm>
                    <a:prstGeom prst="rect">
                      <a:avLst/>
                    </a:prstGeom>
                  </pic:spPr>
                </pic:pic>
              </a:graphicData>
            </a:graphic>
          </wp:inline>
        </w:drawing>
      </w:r>
    </w:p>
    <w:p w14:paraId="50C6863E" w14:textId="77777777" w:rsidR="00102B60" w:rsidRDefault="00102B60" w:rsidP="006351AD">
      <w:pPr>
        <w:pStyle w:val="EndnoteText"/>
        <w:jc w:val="both"/>
        <w:rPr>
          <w:rFonts w:ascii="Calibri" w:hAnsi="Calibri" w:cs="Calibri"/>
          <w:sz w:val="24"/>
          <w:szCs w:val="24"/>
          <w:lang w:eastAsia="zh-CN"/>
        </w:rPr>
      </w:pPr>
    </w:p>
    <w:p w14:paraId="12BB1FC5" w14:textId="238F6735" w:rsidR="0087484A" w:rsidRDefault="00525EFD" w:rsidP="00D628FA">
      <w:pPr>
        <w:pStyle w:val="EndnoteText"/>
        <w:rPr>
          <w:rFonts w:ascii="Calibri" w:hAnsi="Calibri" w:cs="Calibri"/>
          <w:b/>
          <w:bCs/>
          <w:sz w:val="24"/>
          <w:szCs w:val="24"/>
          <w:lang w:eastAsia="zh-CN"/>
        </w:rPr>
      </w:pPr>
      <w:r>
        <w:rPr>
          <w:rFonts w:ascii="Calibri" w:hAnsi="Calibri" w:cs="Calibri"/>
          <w:b/>
          <w:bCs/>
          <w:sz w:val="24"/>
          <w:szCs w:val="24"/>
          <w:lang w:eastAsia="zh-CN"/>
        </w:rPr>
        <w:t>Other k</w:t>
      </w:r>
      <w:r w:rsidR="0087484A" w:rsidRPr="00D628FA">
        <w:rPr>
          <w:rFonts w:ascii="Calibri" w:hAnsi="Calibri" w:cs="Calibri"/>
          <w:b/>
          <w:bCs/>
          <w:sz w:val="24"/>
          <w:szCs w:val="24"/>
          <w:lang w:eastAsia="zh-CN"/>
        </w:rPr>
        <w:t xml:space="preserve">ey </w:t>
      </w:r>
      <w:r>
        <w:rPr>
          <w:rFonts w:ascii="Calibri" w:hAnsi="Calibri" w:cs="Calibri"/>
          <w:b/>
          <w:bCs/>
          <w:sz w:val="24"/>
          <w:szCs w:val="24"/>
          <w:lang w:eastAsia="zh-CN"/>
        </w:rPr>
        <w:t>f</w:t>
      </w:r>
      <w:r w:rsidR="0087484A" w:rsidRPr="00D628FA">
        <w:rPr>
          <w:rFonts w:ascii="Calibri" w:hAnsi="Calibri" w:cs="Calibri"/>
          <w:b/>
          <w:bCs/>
          <w:sz w:val="24"/>
          <w:szCs w:val="24"/>
          <w:lang w:eastAsia="zh-CN"/>
        </w:rPr>
        <w:t>indings</w:t>
      </w:r>
      <w:r>
        <w:rPr>
          <w:rFonts w:ascii="Calibri" w:hAnsi="Calibri" w:cs="Calibri"/>
          <w:b/>
          <w:bCs/>
          <w:sz w:val="24"/>
          <w:szCs w:val="24"/>
          <w:lang w:eastAsia="zh-CN"/>
        </w:rPr>
        <w:t xml:space="preserve"> include</w:t>
      </w:r>
      <w:r w:rsidR="0010451D">
        <w:rPr>
          <w:rFonts w:ascii="Calibri" w:hAnsi="Calibri" w:cs="Calibri"/>
          <w:b/>
          <w:bCs/>
          <w:sz w:val="24"/>
          <w:szCs w:val="24"/>
          <w:lang w:eastAsia="zh-CN"/>
        </w:rPr>
        <w:t>:</w:t>
      </w:r>
    </w:p>
    <w:p w14:paraId="1E88D9B7" w14:textId="77777777" w:rsidR="00525EFD" w:rsidRPr="00D628FA" w:rsidRDefault="00525EFD" w:rsidP="00D628FA">
      <w:pPr>
        <w:pStyle w:val="EndnoteText"/>
        <w:rPr>
          <w:rFonts w:ascii="Calibri" w:hAnsi="Calibri" w:cs="Calibri"/>
          <w:b/>
          <w:bCs/>
          <w:sz w:val="24"/>
          <w:szCs w:val="24"/>
          <w:lang w:eastAsia="zh-CN"/>
        </w:rPr>
      </w:pPr>
    </w:p>
    <w:p w14:paraId="2347F330" w14:textId="39D8EBEC" w:rsidR="00314ACD" w:rsidRPr="00D628FA" w:rsidRDefault="00525EFD" w:rsidP="00AE6CDF">
      <w:pPr>
        <w:pStyle w:val="ListParagraph"/>
        <w:numPr>
          <w:ilvl w:val="0"/>
          <w:numId w:val="1"/>
        </w:numPr>
        <w:jc w:val="both"/>
        <w:rPr>
          <w:rFonts w:ascii="Calibri" w:hAnsi="Calibri" w:cs="Calibri"/>
          <w:i/>
          <w:iCs/>
          <w:kern w:val="2"/>
          <w:sz w:val="24"/>
          <w:lang w:val="en-US" w:eastAsia="zh-CN"/>
          <w14:ligatures w14:val="none"/>
        </w:rPr>
      </w:pPr>
      <w:r>
        <w:rPr>
          <w:rFonts w:ascii="Calibri" w:hAnsi="Calibri" w:cs="Calibri"/>
          <w:i/>
          <w:iCs/>
          <w:kern w:val="2"/>
          <w:sz w:val="24"/>
          <w:lang w:val="en-US" w:eastAsia="zh-CN"/>
          <w14:ligatures w14:val="none"/>
        </w:rPr>
        <w:t>Investors</w:t>
      </w:r>
      <w:r w:rsidR="00314ACD" w:rsidRPr="00D628FA">
        <w:rPr>
          <w:rFonts w:ascii="Calibri" w:hAnsi="Calibri" w:cs="Calibri"/>
          <w:i/>
          <w:iCs/>
          <w:kern w:val="2"/>
          <w:sz w:val="24"/>
          <w:lang w:val="en-US" w:eastAsia="zh-CN"/>
          <w14:ligatures w14:val="none"/>
        </w:rPr>
        <w:t xml:space="preserve"> prefer deals that contribute to mitigation</w:t>
      </w:r>
    </w:p>
    <w:p w14:paraId="5E3A927F" w14:textId="77777777" w:rsidR="009C6BE2" w:rsidRDefault="00FC6E08" w:rsidP="00AE6CDF">
      <w:pPr>
        <w:widowControl/>
        <w:pBdr>
          <w:top w:val="nil"/>
          <w:left w:val="nil"/>
          <w:bottom w:val="nil"/>
          <w:right w:val="nil"/>
          <w:between w:val="nil"/>
        </w:pBdr>
        <w:rPr>
          <w:rFonts w:ascii="Calibri" w:hAnsi="Calibri" w:cs="Calibri"/>
          <w:bCs/>
          <w:iCs/>
          <w:color w:val="000000" w:themeColor="text1"/>
          <w:sz w:val="24"/>
          <w:szCs w:val="24"/>
        </w:rPr>
      </w:pPr>
      <w:r>
        <w:rPr>
          <w:rFonts w:ascii="Calibri" w:hAnsi="Calibri" w:cs="Calibri"/>
          <w:bCs/>
          <w:iCs/>
          <w:color w:val="000000" w:themeColor="text1"/>
          <w:sz w:val="24"/>
          <w:szCs w:val="24"/>
        </w:rPr>
        <w:t xml:space="preserve">Renewable Energy </w:t>
      </w:r>
      <w:r w:rsidR="00472587">
        <w:rPr>
          <w:rFonts w:ascii="Calibri" w:hAnsi="Calibri" w:cs="Calibri"/>
          <w:bCs/>
          <w:iCs/>
          <w:color w:val="000000" w:themeColor="text1"/>
          <w:sz w:val="24"/>
          <w:szCs w:val="24"/>
        </w:rPr>
        <w:t>and Low Carbon Transport were identified as preferred use of proceeds (</w:t>
      </w:r>
      <w:proofErr w:type="spellStart"/>
      <w:r w:rsidR="00472587">
        <w:rPr>
          <w:rFonts w:ascii="Calibri" w:hAnsi="Calibri" w:cs="Calibri"/>
          <w:bCs/>
          <w:iCs/>
          <w:color w:val="000000" w:themeColor="text1"/>
          <w:sz w:val="24"/>
          <w:szCs w:val="24"/>
        </w:rPr>
        <w:t>UoP</w:t>
      </w:r>
      <w:proofErr w:type="spellEnd"/>
      <w:r w:rsidR="00472587">
        <w:rPr>
          <w:rFonts w:ascii="Calibri" w:hAnsi="Calibri" w:cs="Calibri"/>
          <w:bCs/>
          <w:iCs/>
          <w:color w:val="000000" w:themeColor="text1"/>
          <w:sz w:val="24"/>
          <w:szCs w:val="24"/>
        </w:rPr>
        <w:t>) of current holdings</w:t>
      </w:r>
      <w:r w:rsidR="00DC2703" w:rsidRPr="00DC2703">
        <w:rPr>
          <w:rFonts w:ascii="Calibri" w:hAnsi="Calibri" w:cs="Calibri"/>
          <w:bCs/>
          <w:iCs/>
          <w:color w:val="000000" w:themeColor="text1"/>
          <w:sz w:val="24"/>
          <w:szCs w:val="24"/>
        </w:rPr>
        <w:t>.</w:t>
      </w:r>
      <w:r w:rsidR="00472587">
        <w:rPr>
          <w:rFonts w:ascii="Calibri" w:hAnsi="Calibri" w:cs="Calibri"/>
          <w:bCs/>
          <w:iCs/>
          <w:color w:val="000000" w:themeColor="text1"/>
          <w:sz w:val="24"/>
          <w:szCs w:val="24"/>
        </w:rPr>
        <w:t xml:space="preserve"> Respondents also highlighted Renewable Energy as the preferred </w:t>
      </w:r>
      <w:proofErr w:type="spellStart"/>
      <w:r w:rsidR="00472587">
        <w:rPr>
          <w:rFonts w:ascii="Calibri" w:hAnsi="Calibri" w:cs="Calibri"/>
          <w:bCs/>
          <w:iCs/>
          <w:color w:val="000000" w:themeColor="text1"/>
          <w:sz w:val="24"/>
          <w:szCs w:val="24"/>
        </w:rPr>
        <w:t>UoP</w:t>
      </w:r>
      <w:proofErr w:type="spellEnd"/>
      <w:r w:rsidR="00472587">
        <w:rPr>
          <w:rFonts w:ascii="Calibri" w:hAnsi="Calibri" w:cs="Calibri"/>
          <w:bCs/>
          <w:iCs/>
          <w:color w:val="000000" w:themeColor="text1"/>
          <w:sz w:val="24"/>
          <w:szCs w:val="24"/>
        </w:rPr>
        <w:t xml:space="preserve"> category for further investment. This is consistent with the priorities of China’s </w:t>
      </w:r>
      <w:r w:rsidR="004F6A11">
        <w:rPr>
          <w:rFonts w:ascii="Calibri" w:hAnsi="Calibri" w:cs="Calibri"/>
          <w:bCs/>
          <w:iCs/>
          <w:color w:val="000000" w:themeColor="text1"/>
          <w:sz w:val="24"/>
          <w:szCs w:val="24"/>
        </w:rPr>
        <w:t xml:space="preserve">30.60 target. </w:t>
      </w:r>
    </w:p>
    <w:p w14:paraId="5991C061" w14:textId="77777777" w:rsidR="009C6BE2" w:rsidRDefault="009C6BE2" w:rsidP="00AE6CDF">
      <w:pPr>
        <w:widowControl/>
        <w:pBdr>
          <w:top w:val="nil"/>
          <w:left w:val="nil"/>
          <w:bottom w:val="nil"/>
          <w:right w:val="nil"/>
          <w:between w:val="nil"/>
        </w:pBdr>
        <w:rPr>
          <w:rFonts w:ascii="Calibri" w:hAnsi="Calibri" w:cs="Calibri"/>
          <w:bCs/>
          <w:iCs/>
          <w:color w:val="000000" w:themeColor="text1"/>
          <w:sz w:val="24"/>
          <w:szCs w:val="24"/>
        </w:rPr>
      </w:pPr>
    </w:p>
    <w:p w14:paraId="0D77BC9D" w14:textId="2810634E" w:rsidR="00311B54" w:rsidRPr="00DC2703" w:rsidRDefault="009C6BE2" w:rsidP="00AE6CDF">
      <w:pPr>
        <w:widowControl/>
        <w:pBdr>
          <w:top w:val="nil"/>
          <w:left w:val="nil"/>
          <w:bottom w:val="nil"/>
          <w:right w:val="nil"/>
          <w:between w:val="nil"/>
        </w:pBdr>
        <w:rPr>
          <w:rFonts w:ascii="Calibri" w:hAnsi="Calibri" w:cs="Calibri"/>
          <w:bCs/>
          <w:iCs/>
          <w:color w:val="000000" w:themeColor="text1"/>
          <w:sz w:val="24"/>
          <w:szCs w:val="24"/>
        </w:rPr>
      </w:pPr>
      <w:r>
        <w:rPr>
          <w:rFonts w:ascii="Calibri" w:hAnsi="Calibri" w:cs="Calibri"/>
          <w:bCs/>
          <w:iCs/>
          <w:noProof/>
          <w:color w:val="000000" w:themeColor="text1"/>
          <w:sz w:val="24"/>
          <w:szCs w:val="24"/>
        </w:rPr>
        <w:drawing>
          <wp:inline distT="0" distB="0" distL="0" distR="0" wp14:anchorId="17BE7C28" wp14:editId="42737183">
            <wp:extent cx="3283831" cy="2309673"/>
            <wp:effectExtent l="0" t="0" r="5715" b="1905"/>
            <wp:docPr id="5" name="Picture 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ar 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01004" cy="2321752"/>
                    </a:xfrm>
                    <a:prstGeom prst="rect">
                      <a:avLst/>
                    </a:prstGeom>
                  </pic:spPr>
                </pic:pic>
              </a:graphicData>
            </a:graphic>
          </wp:inline>
        </w:drawing>
      </w:r>
      <w:r w:rsidR="004F6A11">
        <w:rPr>
          <w:rFonts w:ascii="Calibri" w:hAnsi="Calibri" w:cs="Calibri"/>
          <w:bCs/>
          <w:iCs/>
          <w:color w:val="000000" w:themeColor="text1"/>
          <w:sz w:val="24"/>
          <w:szCs w:val="24"/>
        </w:rPr>
        <w:br/>
      </w:r>
    </w:p>
    <w:p w14:paraId="35697CDB" w14:textId="1F2B1B5F" w:rsidR="008F1FE9" w:rsidRPr="00D628FA" w:rsidRDefault="00525EFD" w:rsidP="00AE6CDF">
      <w:pPr>
        <w:pStyle w:val="ListParagraph"/>
        <w:numPr>
          <w:ilvl w:val="0"/>
          <w:numId w:val="1"/>
        </w:numPr>
        <w:jc w:val="both"/>
        <w:rPr>
          <w:rFonts w:ascii="Calibri" w:hAnsi="Calibri" w:cs="Calibri"/>
          <w:i/>
          <w:iCs/>
          <w:kern w:val="2"/>
          <w:sz w:val="24"/>
          <w:lang w:val="en-US" w:eastAsia="zh-CN"/>
          <w14:ligatures w14:val="none"/>
        </w:rPr>
      </w:pPr>
      <w:r>
        <w:rPr>
          <w:rFonts w:ascii="Calibri" w:hAnsi="Calibri" w:cs="Calibri"/>
          <w:i/>
          <w:iCs/>
          <w:kern w:val="2"/>
          <w:sz w:val="24"/>
          <w:lang w:val="en-US" w:eastAsia="zh-CN"/>
          <w14:ligatures w14:val="none"/>
        </w:rPr>
        <w:t>Investors</w:t>
      </w:r>
      <w:r w:rsidR="00314ACD" w:rsidRPr="00D628FA">
        <w:rPr>
          <w:rFonts w:ascii="Calibri" w:hAnsi="Calibri" w:cs="Calibri"/>
          <w:i/>
          <w:iCs/>
          <w:kern w:val="2"/>
          <w:sz w:val="24"/>
          <w:lang w:val="en-US" w:eastAsia="zh-CN"/>
          <w14:ligatures w14:val="none"/>
        </w:rPr>
        <w:t xml:space="preserve"> want more green bonds from all sources</w:t>
      </w:r>
    </w:p>
    <w:p w14:paraId="29590A1B" w14:textId="6C4DA511" w:rsidR="00BD6EB1" w:rsidRDefault="008F1FE9" w:rsidP="00AE6CDF">
      <w:pPr>
        <w:widowControl/>
        <w:pBdr>
          <w:top w:val="nil"/>
          <w:left w:val="nil"/>
          <w:bottom w:val="nil"/>
          <w:right w:val="nil"/>
          <w:between w:val="nil"/>
        </w:pBdr>
        <w:rPr>
          <w:rFonts w:ascii="Calibri" w:hAnsi="Calibri" w:cs="Calibri"/>
          <w:color w:val="000000"/>
          <w:sz w:val="24"/>
          <w:szCs w:val="24"/>
        </w:rPr>
      </w:pPr>
      <w:r w:rsidRPr="00D628FA">
        <w:rPr>
          <w:rFonts w:ascii="Calibri" w:hAnsi="Calibri" w:cs="Calibri"/>
          <w:color w:val="000000"/>
          <w:sz w:val="24"/>
          <w:szCs w:val="24"/>
        </w:rPr>
        <w:t xml:space="preserve">Financial and non-financial corporate bonds </w:t>
      </w:r>
      <w:r w:rsidR="003E3984">
        <w:rPr>
          <w:rFonts w:ascii="Calibri" w:hAnsi="Calibri" w:cs="Calibri"/>
          <w:color w:val="000000"/>
          <w:sz w:val="24"/>
          <w:szCs w:val="24"/>
        </w:rPr>
        <w:t>were</w:t>
      </w:r>
      <w:r w:rsidRPr="00D628FA">
        <w:rPr>
          <w:rFonts w:ascii="Calibri" w:hAnsi="Calibri" w:cs="Calibri"/>
          <w:color w:val="000000"/>
          <w:sz w:val="24"/>
          <w:szCs w:val="24"/>
        </w:rPr>
        <w:t xml:space="preserve"> the preferred </w:t>
      </w:r>
      <w:r w:rsidR="00DC2703" w:rsidRPr="00DC2703">
        <w:rPr>
          <w:rFonts w:ascii="Calibri" w:hAnsi="Calibri" w:cs="Calibri"/>
          <w:color w:val="000000"/>
          <w:sz w:val="24"/>
          <w:szCs w:val="24"/>
        </w:rPr>
        <w:t>green bond issuer types</w:t>
      </w:r>
      <w:r w:rsidRPr="00D628FA">
        <w:rPr>
          <w:rFonts w:ascii="Calibri" w:hAnsi="Calibri" w:cs="Calibri"/>
          <w:color w:val="000000"/>
          <w:sz w:val="24"/>
          <w:szCs w:val="24"/>
        </w:rPr>
        <w:t xml:space="preserve">. </w:t>
      </w:r>
      <w:r w:rsidR="00DC2703" w:rsidRPr="00DC2703">
        <w:rPr>
          <w:rFonts w:ascii="Calibri" w:hAnsi="Calibri" w:cs="Calibri"/>
          <w:color w:val="000000"/>
          <w:sz w:val="24"/>
          <w:szCs w:val="24"/>
        </w:rPr>
        <w:t>Government-backed ent</w:t>
      </w:r>
      <w:r w:rsidR="00DC2703">
        <w:rPr>
          <w:rFonts w:ascii="Calibri" w:hAnsi="Calibri" w:cs="Calibri"/>
          <w:color w:val="000000"/>
          <w:sz w:val="24"/>
          <w:szCs w:val="24"/>
        </w:rPr>
        <w:t>ities</w:t>
      </w:r>
      <w:r w:rsidR="00DC2703" w:rsidRPr="00DC2703">
        <w:rPr>
          <w:rFonts w:ascii="Calibri" w:hAnsi="Calibri" w:cs="Calibri"/>
          <w:color w:val="000000"/>
          <w:sz w:val="24"/>
          <w:szCs w:val="24"/>
        </w:rPr>
        <w:t xml:space="preserve">, policy banks, and corporates were </w:t>
      </w:r>
      <w:r w:rsidR="003E3984">
        <w:rPr>
          <w:rFonts w:ascii="Calibri" w:hAnsi="Calibri" w:cs="Calibri"/>
          <w:color w:val="000000"/>
          <w:sz w:val="24"/>
          <w:szCs w:val="24"/>
        </w:rPr>
        <w:t>highlighted</w:t>
      </w:r>
      <w:r w:rsidR="00DC2703" w:rsidRPr="00DC2703">
        <w:rPr>
          <w:rFonts w:ascii="Calibri" w:hAnsi="Calibri" w:cs="Calibri"/>
          <w:color w:val="000000"/>
          <w:sz w:val="24"/>
          <w:szCs w:val="24"/>
        </w:rPr>
        <w:t xml:space="preserve"> as asset classes in which respondents would prefer to invest more in green bonds.</w:t>
      </w:r>
      <w:r w:rsidR="00DC2703">
        <w:rPr>
          <w:rFonts w:ascii="Calibri" w:hAnsi="Calibri" w:cs="Calibri"/>
          <w:color w:val="000000"/>
          <w:sz w:val="24"/>
          <w:szCs w:val="24"/>
        </w:rPr>
        <w:t xml:space="preserve"> </w:t>
      </w:r>
    </w:p>
    <w:p w14:paraId="79C267A5" w14:textId="320F297E" w:rsidR="00844CE1" w:rsidRDefault="00844CE1" w:rsidP="00AE6CDF">
      <w:pPr>
        <w:widowControl/>
        <w:pBdr>
          <w:top w:val="nil"/>
          <w:left w:val="nil"/>
          <w:bottom w:val="nil"/>
          <w:right w:val="nil"/>
          <w:between w:val="nil"/>
        </w:pBdr>
        <w:rPr>
          <w:rFonts w:ascii="Calibri" w:hAnsi="Calibri" w:cs="Calibri"/>
          <w:color w:val="000000"/>
          <w:sz w:val="24"/>
          <w:szCs w:val="24"/>
        </w:rPr>
      </w:pPr>
    </w:p>
    <w:p w14:paraId="0AB786B1" w14:textId="77777777" w:rsidR="00844CE1" w:rsidRDefault="00844CE1" w:rsidP="00AE6CDF">
      <w:pPr>
        <w:widowControl/>
        <w:pBdr>
          <w:top w:val="nil"/>
          <w:left w:val="nil"/>
          <w:bottom w:val="nil"/>
          <w:right w:val="nil"/>
          <w:between w:val="nil"/>
        </w:pBdr>
        <w:rPr>
          <w:rFonts w:ascii="Calibri" w:hAnsi="Calibri" w:cs="Calibri"/>
          <w:color w:val="000000"/>
          <w:sz w:val="24"/>
          <w:szCs w:val="24"/>
        </w:rPr>
      </w:pPr>
    </w:p>
    <w:p w14:paraId="6B7EEC2C" w14:textId="6D93B172" w:rsidR="004C7298" w:rsidRPr="00DF7CB2" w:rsidRDefault="004C7298" w:rsidP="00AE6CDF">
      <w:pPr>
        <w:widowControl/>
        <w:pBdr>
          <w:top w:val="nil"/>
          <w:left w:val="nil"/>
          <w:bottom w:val="nil"/>
          <w:right w:val="nil"/>
          <w:between w:val="nil"/>
        </w:pBdr>
        <w:rPr>
          <w:rFonts w:ascii="Calibri" w:hAnsi="Calibri" w:cs="Calibri"/>
          <w:color w:val="000000"/>
          <w:sz w:val="24"/>
          <w:szCs w:val="24"/>
        </w:rPr>
      </w:pPr>
    </w:p>
    <w:p w14:paraId="14D742C2" w14:textId="6A35E0DD" w:rsidR="00314ACD" w:rsidRPr="00D628FA" w:rsidRDefault="00525EFD" w:rsidP="00AE6CDF">
      <w:pPr>
        <w:pStyle w:val="ListParagraph"/>
        <w:numPr>
          <w:ilvl w:val="0"/>
          <w:numId w:val="1"/>
        </w:numPr>
        <w:jc w:val="both"/>
        <w:rPr>
          <w:rFonts w:ascii="Calibri" w:hAnsi="Calibri" w:cs="Calibri"/>
          <w:i/>
          <w:iCs/>
          <w:kern w:val="2"/>
          <w:sz w:val="24"/>
          <w:lang w:val="en-US" w:eastAsia="zh-CN"/>
          <w14:ligatures w14:val="none"/>
        </w:rPr>
      </w:pPr>
      <w:r>
        <w:rPr>
          <w:rFonts w:ascii="Calibri" w:hAnsi="Calibri" w:cs="Calibri"/>
          <w:i/>
          <w:iCs/>
          <w:kern w:val="2"/>
          <w:sz w:val="24"/>
          <w:lang w:val="en-US" w:eastAsia="zh-CN"/>
          <w14:ligatures w14:val="none"/>
        </w:rPr>
        <w:t>Investors</w:t>
      </w:r>
      <w:r w:rsidR="00314ACD" w:rsidRPr="00D628FA">
        <w:rPr>
          <w:rFonts w:ascii="Calibri" w:hAnsi="Calibri" w:cs="Calibri"/>
          <w:i/>
          <w:iCs/>
          <w:kern w:val="2"/>
          <w:sz w:val="24"/>
          <w:lang w:val="en-US" w:eastAsia="zh-CN"/>
          <w14:ligatures w14:val="none"/>
        </w:rPr>
        <w:t xml:space="preserve"> care about green credentials and issuer fundamentals</w:t>
      </w:r>
    </w:p>
    <w:p w14:paraId="2128D981" w14:textId="2EDF40EE" w:rsidR="00314ACD" w:rsidRDefault="00525EFD" w:rsidP="00AE6CDF">
      <w:pPr>
        <w:widowControl/>
        <w:pBdr>
          <w:top w:val="nil"/>
          <w:left w:val="nil"/>
          <w:bottom w:val="nil"/>
          <w:right w:val="nil"/>
          <w:between w:val="nil"/>
        </w:pBdr>
        <w:rPr>
          <w:rFonts w:ascii="Calibri" w:hAnsi="Calibri" w:cs="Calibri"/>
          <w:bCs/>
          <w:iCs/>
          <w:color w:val="000000" w:themeColor="text1"/>
          <w:sz w:val="24"/>
          <w:szCs w:val="24"/>
        </w:rPr>
      </w:pPr>
      <w:r>
        <w:rPr>
          <w:rFonts w:ascii="Calibri" w:hAnsi="Calibri" w:cs="Calibri"/>
          <w:color w:val="000000"/>
          <w:sz w:val="24"/>
          <w:szCs w:val="24"/>
        </w:rPr>
        <w:t xml:space="preserve">Investors </w:t>
      </w:r>
      <w:r w:rsidR="00314ACD" w:rsidRPr="00D628FA">
        <w:rPr>
          <w:rFonts w:ascii="Calibri" w:hAnsi="Calibri" w:cs="Calibri"/>
          <w:color w:val="000000"/>
          <w:sz w:val="24"/>
          <w:szCs w:val="24"/>
        </w:rPr>
        <w:t>identified satisfactory green credentials at issuance as their top priority.</w:t>
      </w:r>
      <w:r w:rsidR="00D07A90" w:rsidRPr="00D628FA">
        <w:rPr>
          <w:rFonts w:ascii="Calibri" w:hAnsi="Calibri" w:cs="Calibri"/>
          <w:color w:val="000000"/>
          <w:sz w:val="24"/>
          <w:szCs w:val="24"/>
        </w:rPr>
        <w:t xml:space="preserve"> </w:t>
      </w:r>
      <w:r w:rsidR="004F6A11">
        <w:rPr>
          <w:rFonts w:ascii="Calibri" w:hAnsi="Calibri" w:cs="Calibri"/>
          <w:bCs/>
          <w:iCs/>
          <w:color w:val="000000" w:themeColor="text1"/>
          <w:sz w:val="24"/>
          <w:szCs w:val="24"/>
        </w:rPr>
        <w:t xml:space="preserve">Positive issuer fundamentals and actions to enhance transparency </w:t>
      </w:r>
      <w:r w:rsidR="003D346C">
        <w:rPr>
          <w:rFonts w:ascii="Calibri" w:hAnsi="Calibri" w:cs="Calibri"/>
          <w:bCs/>
          <w:iCs/>
          <w:color w:val="000000" w:themeColor="text1"/>
          <w:sz w:val="24"/>
          <w:szCs w:val="24"/>
        </w:rPr>
        <w:t>were identified as key factors to</w:t>
      </w:r>
      <w:r w:rsidR="004F6A11">
        <w:rPr>
          <w:rFonts w:ascii="Calibri" w:hAnsi="Calibri" w:cs="Calibri"/>
          <w:bCs/>
          <w:iCs/>
          <w:color w:val="000000" w:themeColor="text1"/>
          <w:sz w:val="24"/>
          <w:szCs w:val="24"/>
        </w:rPr>
        <w:t xml:space="preserve"> </w:t>
      </w:r>
      <w:r w:rsidR="002F1B87">
        <w:rPr>
          <w:rFonts w:ascii="Calibri" w:hAnsi="Calibri" w:cs="Calibri"/>
          <w:bCs/>
          <w:iCs/>
          <w:color w:val="000000" w:themeColor="text1"/>
          <w:sz w:val="24"/>
          <w:szCs w:val="24"/>
        </w:rPr>
        <w:t>further increase the appeal of Chinese green bonds.</w:t>
      </w:r>
    </w:p>
    <w:p w14:paraId="0A1BDAD9" w14:textId="77777777" w:rsidR="004F6A11" w:rsidRPr="00D628FA" w:rsidRDefault="004F6A11" w:rsidP="00AE6CDF">
      <w:pPr>
        <w:widowControl/>
        <w:pBdr>
          <w:top w:val="nil"/>
          <w:left w:val="nil"/>
          <w:bottom w:val="nil"/>
          <w:right w:val="nil"/>
          <w:between w:val="nil"/>
        </w:pBdr>
        <w:rPr>
          <w:rFonts w:ascii="Calibri" w:hAnsi="Calibri" w:cs="Calibri"/>
          <w:color w:val="000000"/>
          <w:sz w:val="24"/>
          <w:szCs w:val="24"/>
        </w:rPr>
      </w:pPr>
    </w:p>
    <w:p w14:paraId="5DC2B33C" w14:textId="36C8A476" w:rsidR="0007427D" w:rsidRPr="0007427D" w:rsidRDefault="00314ACD" w:rsidP="00AE6CDF">
      <w:pPr>
        <w:pStyle w:val="ListParagraph"/>
        <w:numPr>
          <w:ilvl w:val="0"/>
          <w:numId w:val="1"/>
        </w:numPr>
        <w:jc w:val="both"/>
        <w:rPr>
          <w:rFonts w:ascii="Calibri" w:hAnsi="Calibri" w:cs="Calibri"/>
          <w:i/>
          <w:iCs/>
          <w:kern w:val="2"/>
          <w:sz w:val="24"/>
          <w:lang w:val="en-US" w:eastAsia="zh-CN"/>
          <w14:ligatures w14:val="none"/>
        </w:rPr>
      </w:pPr>
      <w:r w:rsidRPr="00D628FA">
        <w:rPr>
          <w:rFonts w:ascii="Calibri" w:hAnsi="Calibri" w:cs="Calibri"/>
          <w:i/>
          <w:iCs/>
          <w:kern w:val="2"/>
          <w:sz w:val="24"/>
          <w:lang w:val="en-US" w:eastAsia="zh-CN"/>
          <w14:ligatures w14:val="none"/>
        </w:rPr>
        <w:t>Both market and policy tools can bring the required scale</w:t>
      </w:r>
    </w:p>
    <w:p w14:paraId="3AD6AA21" w14:textId="45390626" w:rsidR="0036726D" w:rsidRDefault="0007427D" w:rsidP="00AE6CDF">
      <w:pPr>
        <w:widowControl/>
        <w:pBdr>
          <w:top w:val="nil"/>
          <w:left w:val="nil"/>
          <w:bottom w:val="nil"/>
          <w:right w:val="nil"/>
          <w:between w:val="nil"/>
        </w:pBdr>
        <w:rPr>
          <w:rFonts w:ascii="Calibri" w:hAnsi="Calibri" w:cs="Calibri"/>
          <w:noProof/>
          <w:sz w:val="24"/>
          <w:szCs w:val="24"/>
          <w:lang w:val="en-ZA" w:eastAsia="en-ZA"/>
        </w:rPr>
      </w:pPr>
      <w:r>
        <w:rPr>
          <w:rFonts w:ascii="Calibri" w:hAnsi="Calibri" w:cs="Calibri"/>
          <w:color w:val="000000"/>
          <w:sz w:val="24"/>
          <w:szCs w:val="24"/>
        </w:rPr>
        <w:t>M</w:t>
      </w:r>
      <w:r w:rsidR="00314ACD" w:rsidRPr="00D628FA">
        <w:rPr>
          <w:rFonts w:ascii="Calibri" w:hAnsi="Calibri" w:cs="Calibri"/>
          <w:color w:val="000000"/>
          <w:sz w:val="24"/>
          <w:szCs w:val="24"/>
        </w:rPr>
        <w:t>arket tools and mechanisms that strengthened the broad bond market ecosystem, particularly positive credit fundamentals</w:t>
      </w:r>
      <w:r>
        <w:rPr>
          <w:rFonts w:ascii="Calibri" w:hAnsi="Calibri" w:cs="Calibri"/>
          <w:color w:val="000000"/>
          <w:sz w:val="24"/>
          <w:szCs w:val="24"/>
        </w:rPr>
        <w:t xml:space="preserve">, </w:t>
      </w:r>
      <w:r w:rsidRPr="0007427D">
        <w:rPr>
          <w:rFonts w:ascii="Calibri" w:hAnsi="Calibri" w:cs="Calibri"/>
          <w:color w:val="000000"/>
          <w:sz w:val="24"/>
          <w:szCs w:val="24"/>
        </w:rPr>
        <w:t xml:space="preserve">were </w:t>
      </w:r>
      <w:r w:rsidR="002F1B87">
        <w:rPr>
          <w:rFonts w:ascii="Calibri" w:hAnsi="Calibri" w:cs="Calibri"/>
          <w:color w:val="000000"/>
          <w:sz w:val="24"/>
          <w:szCs w:val="24"/>
        </w:rPr>
        <w:t xml:space="preserve">preferred </w:t>
      </w:r>
      <w:r w:rsidRPr="0007427D">
        <w:rPr>
          <w:rFonts w:ascii="Calibri" w:hAnsi="Calibri" w:cs="Calibri"/>
          <w:color w:val="000000"/>
          <w:sz w:val="24"/>
          <w:szCs w:val="24"/>
        </w:rPr>
        <w:t>by respondents</w:t>
      </w:r>
      <w:r w:rsidR="00314ACD" w:rsidRPr="00D628FA">
        <w:rPr>
          <w:rFonts w:ascii="Calibri" w:hAnsi="Calibri" w:cs="Calibri"/>
          <w:color w:val="000000"/>
          <w:sz w:val="24"/>
          <w:szCs w:val="24"/>
        </w:rPr>
        <w:t xml:space="preserve">. </w:t>
      </w:r>
      <w:r w:rsidR="0036726D" w:rsidRPr="00D628FA">
        <w:rPr>
          <w:rFonts w:ascii="Calibri" w:hAnsi="Calibri" w:cs="Calibri"/>
          <w:bCs/>
          <w:iCs/>
          <w:color w:val="000000" w:themeColor="text1"/>
          <w:sz w:val="24"/>
          <w:szCs w:val="24"/>
        </w:rPr>
        <w:t>Regulatory mechanisms</w:t>
      </w:r>
      <w:r w:rsidR="0036726D" w:rsidRPr="00D628FA">
        <w:rPr>
          <w:rFonts w:ascii="Calibri" w:hAnsi="Calibri" w:cs="Calibri"/>
          <w:b/>
          <w:iCs/>
          <w:color w:val="000000" w:themeColor="text1"/>
          <w:sz w:val="24"/>
          <w:szCs w:val="24"/>
        </w:rPr>
        <w:t xml:space="preserve"> </w:t>
      </w:r>
      <w:r w:rsidR="0036726D" w:rsidRPr="00D628FA">
        <w:rPr>
          <w:rFonts w:ascii="Calibri" w:hAnsi="Calibri" w:cs="Calibri"/>
          <w:bCs/>
          <w:iCs/>
          <w:color w:val="000000" w:themeColor="text1"/>
          <w:sz w:val="24"/>
          <w:szCs w:val="24"/>
        </w:rPr>
        <w:t>such as</w:t>
      </w:r>
      <w:r w:rsidR="0036726D" w:rsidRPr="00D628FA">
        <w:rPr>
          <w:rFonts w:ascii="Calibri" w:hAnsi="Calibri" w:cs="Calibri"/>
          <w:b/>
          <w:iCs/>
          <w:color w:val="000000" w:themeColor="text1"/>
          <w:sz w:val="24"/>
          <w:szCs w:val="24"/>
        </w:rPr>
        <w:t xml:space="preserve"> </w:t>
      </w:r>
      <w:r w:rsidR="0036726D" w:rsidRPr="00D628FA">
        <w:rPr>
          <w:rFonts w:ascii="Calibri" w:hAnsi="Calibri" w:cs="Calibri"/>
          <w:bCs/>
          <w:iCs/>
          <w:color w:val="000000" w:themeColor="text1"/>
          <w:sz w:val="24"/>
          <w:szCs w:val="24"/>
        </w:rPr>
        <w:t>policy</w:t>
      </w:r>
      <w:r w:rsidR="0036726D" w:rsidRPr="00D628FA">
        <w:rPr>
          <w:rFonts w:ascii="Calibri" w:hAnsi="Calibri" w:cs="Calibri"/>
          <w:b/>
          <w:iCs/>
          <w:color w:val="000000" w:themeColor="text1"/>
          <w:sz w:val="24"/>
          <w:szCs w:val="24"/>
        </w:rPr>
        <w:t xml:space="preserve"> </w:t>
      </w:r>
      <w:r w:rsidR="0036726D" w:rsidRPr="00D628FA">
        <w:rPr>
          <w:rFonts w:ascii="Calibri" w:hAnsi="Calibri" w:cs="Calibri"/>
          <w:bCs/>
          <w:iCs/>
          <w:color w:val="000000" w:themeColor="text1"/>
          <w:sz w:val="24"/>
          <w:szCs w:val="24"/>
        </w:rPr>
        <w:t xml:space="preserve">development and international cooperation on green definitions </w:t>
      </w:r>
      <w:r w:rsidR="00C411F4">
        <w:rPr>
          <w:rFonts w:ascii="Calibri" w:hAnsi="Calibri" w:cs="Calibri"/>
          <w:color w:val="000000"/>
          <w:sz w:val="24"/>
          <w:szCs w:val="24"/>
        </w:rPr>
        <w:t>were</w:t>
      </w:r>
      <w:r w:rsidRPr="0007427D">
        <w:rPr>
          <w:rFonts w:ascii="Calibri" w:hAnsi="Calibri" w:cs="Calibri"/>
          <w:color w:val="000000"/>
          <w:sz w:val="24"/>
          <w:szCs w:val="24"/>
        </w:rPr>
        <w:t xml:space="preserve"> </w:t>
      </w:r>
      <w:r w:rsidR="005C3459">
        <w:rPr>
          <w:rFonts w:ascii="Calibri" w:hAnsi="Calibri" w:cs="Calibri"/>
          <w:color w:val="000000"/>
          <w:sz w:val="24"/>
          <w:szCs w:val="24"/>
        </w:rPr>
        <w:t>highlighted</w:t>
      </w:r>
      <w:r w:rsidRPr="0007427D">
        <w:rPr>
          <w:rFonts w:ascii="Calibri" w:hAnsi="Calibri" w:cs="Calibri"/>
          <w:color w:val="000000"/>
          <w:sz w:val="24"/>
          <w:szCs w:val="24"/>
        </w:rPr>
        <w:t xml:space="preserve"> as effective strategies for bringing the Chinese green bond market to the</w:t>
      </w:r>
      <w:r w:rsidRPr="00D628FA">
        <w:rPr>
          <w:rFonts w:ascii="Calibri" w:hAnsi="Calibri" w:cs="Calibri"/>
          <w:bCs/>
          <w:iCs/>
          <w:color w:val="000000" w:themeColor="text1"/>
          <w:sz w:val="24"/>
          <w:szCs w:val="24"/>
        </w:rPr>
        <w:t xml:space="preserve"> </w:t>
      </w:r>
      <w:r w:rsidR="0036726D" w:rsidRPr="00D628FA">
        <w:rPr>
          <w:rFonts w:ascii="Calibri" w:hAnsi="Calibri" w:cs="Calibri"/>
          <w:bCs/>
          <w:iCs/>
          <w:color w:val="000000" w:themeColor="text1"/>
          <w:sz w:val="24"/>
          <w:szCs w:val="24"/>
        </w:rPr>
        <w:t>required scal</w:t>
      </w:r>
      <w:r>
        <w:rPr>
          <w:rFonts w:ascii="Calibri" w:hAnsi="Calibri" w:cs="Calibri"/>
          <w:bCs/>
          <w:iCs/>
          <w:color w:val="000000" w:themeColor="text1"/>
          <w:sz w:val="24"/>
          <w:szCs w:val="24"/>
        </w:rPr>
        <w:t>e</w:t>
      </w:r>
      <w:r w:rsidR="0036726D" w:rsidRPr="00D628FA">
        <w:rPr>
          <w:rFonts w:ascii="Calibri" w:hAnsi="Calibri" w:cs="Calibri"/>
          <w:bCs/>
          <w:iCs/>
          <w:color w:val="000000" w:themeColor="text1"/>
          <w:sz w:val="24"/>
          <w:szCs w:val="24"/>
        </w:rPr>
        <w:t>.</w:t>
      </w:r>
      <w:r w:rsidR="0036726D" w:rsidRPr="00D628FA">
        <w:rPr>
          <w:rFonts w:ascii="Calibri" w:hAnsi="Calibri" w:cs="Calibri"/>
          <w:color w:val="222222"/>
          <w:sz w:val="24"/>
          <w:szCs w:val="24"/>
        </w:rPr>
        <w:t xml:space="preserve"> </w:t>
      </w:r>
      <w:r w:rsidR="0036726D" w:rsidRPr="00D628FA">
        <w:rPr>
          <w:rFonts w:ascii="Calibri" w:hAnsi="Calibri" w:cs="Calibri"/>
          <w:color w:val="000000"/>
          <w:sz w:val="24"/>
          <w:szCs w:val="24"/>
        </w:rPr>
        <w:t xml:space="preserve">Enhanced disclosure measures </w:t>
      </w:r>
      <w:r w:rsidR="00C411F4">
        <w:rPr>
          <w:rFonts w:ascii="Calibri" w:hAnsi="Calibri" w:cs="Calibri"/>
          <w:color w:val="000000"/>
          <w:sz w:val="24"/>
          <w:szCs w:val="24"/>
        </w:rPr>
        <w:t xml:space="preserve">would </w:t>
      </w:r>
      <w:r w:rsidR="0036726D" w:rsidRPr="00D628FA">
        <w:rPr>
          <w:rFonts w:ascii="Calibri" w:hAnsi="Calibri" w:cs="Calibri"/>
          <w:color w:val="000000"/>
          <w:sz w:val="24"/>
          <w:szCs w:val="24"/>
        </w:rPr>
        <w:t>help to close data gaps and insti</w:t>
      </w:r>
      <w:r w:rsidR="005B5A2C">
        <w:rPr>
          <w:rFonts w:ascii="Calibri" w:hAnsi="Calibri" w:cs="Calibri"/>
          <w:color w:val="000000"/>
          <w:sz w:val="24"/>
          <w:szCs w:val="24"/>
        </w:rPr>
        <w:t>l</w:t>
      </w:r>
      <w:r w:rsidR="0036726D" w:rsidRPr="00D628FA">
        <w:rPr>
          <w:rFonts w:ascii="Calibri" w:hAnsi="Calibri" w:cs="Calibri"/>
          <w:color w:val="000000"/>
          <w:sz w:val="24"/>
          <w:szCs w:val="24"/>
        </w:rPr>
        <w:t>l greater</w:t>
      </w:r>
      <w:r w:rsidRPr="0007427D">
        <w:rPr>
          <w:rFonts w:ascii="Calibri" w:hAnsi="Calibri" w:cs="Calibri"/>
          <w:color w:val="000000"/>
          <w:sz w:val="24"/>
          <w:szCs w:val="24"/>
        </w:rPr>
        <w:t xml:space="preserve"> market confidence</w:t>
      </w:r>
      <w:r w:rsidR="0036726D" w:rsidRPr="00D628FA">
        <w:rPr>
          <w:rFonts w:ascii="Calibri" w:hAnsi="Calibri" w:cs="Calibri"/>
          <w:color w:val="000000"/>
          <w:sz w:val="24"/>
          <w:szCs w:val="24"/>
        </w:rPr>
        <w:t>.</w:t>
      </w:r>
      <w:r w:rsidR="00B22544" w:rsidRPr="00D628FA">
        <w:rPr>
          <w:rFonts w:ascii="Calibri" w:hAnsi="Calibri" w:cs="Calibri"/>
          <w:noProof/>
          <w:sz w:val="24"/>
          <w:szCs w:val="24"/>
          <w:lang w:val="en-ZA" w:eastAsia="en-ZA"/>
        </w:rPr>
        <w:t xml:space="preserve"> </w:t>
      </w:r>
    </w:p>
    <w:p w14:paraId="608C9719" w14:textId="77777777" w:rsidR="002F1B87" w:rsidRPr="00D628FA" w:rsidRDefault="002F1B87" w:rsidP="00AE6CDF">
      <w:pPr>
        <w:widowControl/>
        <w:pBdr>
          <w:top w:val="nil"/>
          <w:left w:val="nil"/>
          <w:bottom w:val="nil"/>
          <w:right w:val="nil"/>
          <w:between w:val="nil"/>
        </w:pBdr>
        <w:rPr>
          <w:rFonts w:ascii="Calibri" w:hAnsi="Calibri" w:cs="Calibri"/>
          <w:color w:val="222222"/>
          <w:sz w:val="24"/>
          <w:szCs w:val="24"/>
        </w:rPr>
      </w:pPr>
    </w:p>
    <w:p w14:paraId="2F658F33" w14:textId="36156253" w:rsidR="00314ACD" w:rsidRPr="00D628FA" w:rsidRDefault="00314ACD" w:rsidP="00AE6CDF">
      <w:pPr>
        <w:pStyle w:val="ListParagraph"/>
        <w:numPr>
          <w:ilvl w:val="0"/>
          <w:numId w:val="1"/>
        </w:numPr>
        <w:jc w:val="both"/>
        <w:rPr>
          <w:rFonts w:ascii="Calibri" w:hAnsi="Calibri" w:cs="Calibri"/>
          <w:i/>
          <w:iCs/>
          <w:kern w:val="2"/>
          <w:sz w:val="24"/>
          <w:lang w:val="en-US" w:eastAsia="zh-CN"/>
          <w14:ligatures w14:val="none"/>
        </w:rPr>
      </w:pPr>
      <w:r w:rsidRPr="00D628FA">
        <w:rPr>
          <w:rFonts w:ascii="Calibri" w:hAnsi="Calibri" w:cs="Calibri"/>
          <w:i/>
          <w:iCs/>
          <w:kern w:val="2"/>
          <w:sz w:val="24"/>
          <w:lang w:val="en-US" w:eastAsia="zh-CN"/>
          <w14:ligatures w14:val="none"/>
        </w:rPr>
        <w:t>International investors want to engage with issuers to grow the market</w:t>
      </w:r>
    </w:p>
    <w:p w14:paraId="15D59560" w14:textId="5371D3CF" w:rsidR="00B26498" w:rsidRDefault="005C3459" w:rsidP="00AE6CDF">
      <w:pPr>
        <w:pBdr>
          <w:top w:val="nil"/>
          <w:left w:val="nil"/>
          <w:bottom w:val="nil"/>
          <w:right w:val="nil"/>
          <w:between w:val="nil"/>
        </w:pBdr>
        <w:rPr>
          <w:rFonts w:ascii="Calibri" w:hAnsi="Calibri" w:cs="Calibri"/>
          <w:color w:val="000000"/>
          <w:sz w:val="24"/>
          <w:szCs w:val="24"/>
        </w:rPr>
      </w:pPr>
      <w:r>
        <w:rPr>
          <w:rFonts w:ascii="Calibri" w:hAnsi="Calibri" w:cs="Calibri"/>
          <w:color w:val="000000"/>
          <w:sz w:val="24"/>
          <w:szCs w:val="24"/>
        </w:rPr>
        <w:t>D</w:t>
      </w:r>
      <w:r w:rsidR="00314ACD" w:rsidRPr="00D628FA">
        <w:rPr>
          <w:rFonts w:ascii="Calibri" w:hAnsi="Calibri" w:cs="Calibri"/>
          <w:color w:val="000000"/>
          <w:sz w:val="24"/>
          <w:szCs w:val="24"/>
        </w:rPr>
        <w:t xml:space="preserve">ifferent entry thresholds and quotas for different types of bonds </w:t>
      </w:r>
      <w:r w:rsidRPr="005C3459">
        <w:rPr>
          <w:rFonts w:ascii="Calibri" w:hAnsi="Calibri" w:cs="Calibri"/>
          <w:color w:val="000000"/>
          <w:sz w:val="24"/>
          <w:szCs w:val="24"/>
        </w:rPr>
        <w:t xml:space="preserve">were cited by international </w:t>
      </w:r>
      <w:r w:rsidR="00525EFD">
        <w:rPr>
          <w:rFonts w:ascii="Calibri" w:hAnsi="Calibri" w:cs="Calibri"/>
          <w:color w:val="000000"/>
          <w:sz w:val="24"/>
          <w:szCs w:val="24"/>
        </w:rPr>
        <w:t>investors</w:t>
      </w:r>
      <w:r w:rsidRPr="005C3459">
        <w:rPr>
          <w:rFonts w:ascii="Calibri" w:hAnsi="Calibri" w:cs="Calibri"/>
          <w:color w:val="000000"/>
          <w:sz w:val="24"/>
          <w:szCs w:val="24"/>
        </w:rPr>
        <w:t xml:space="preserve"> as a major barrier to participation in the Chinese bond market</w:t>
      </w:r>
      <w:r w:rsidR="00314ACD" w:rsidRPr="00D628FA">
        <w:rPr>
          <w:rFonts w:ascii="Calibri" w:hAnsi="Calibri" w:cs="Calibri"/>
          <w:color w:val="000000"/>
          <w:sz w:val="24"/>
          <w:szCs w:val="24"/>
        </w:rPr>
        <w:t>.</w:t>
      </w:r>
      <w:r w:rsidR="00B26498" w:rsidRPr="00D628FA">
        <w:rPr>
          <w:rFonts w:ascii="Calibri" w:hAnsi="Calibri" w:cs="Calibri"/>
          <w:color w:val="000000"/>
          <w:sz w:val="24"/>
          <w:szCs w:val="24"/>
        </w:rPr>
        <w:t xml:space="preserve"> </w:t>
      </w:r>
      <w:r w:rsidR="00511F9E">
        <w:rPr>
          <w:rFonts w:ascii="Calibri" w:hAnsi="Calibri" w:cs="Calibri"/>
          <w:color w:val="000000"/>
          <w:sz w:val="24"/>
          <w:szCs w:val="24"/>
        </w:rPr>
        <w:t>International respondents also acknowledged that issuer engagement would contribute to Chinese green bond market development.</w:t>
      </w:r>
    </w:p>
    <w:p w14:paraId="2E36E1C6" w14:textId="77777777" w:rsidR="002F1B87" w:rsidRPr="00D628FA" w:rsidRDefault="002F1B87" w:rsidP="00AE6CDF">
      <w:pPr>
        <w:pBdr>
          <w:top w:val="nil"/>
          <w:left w:val="nil"/>
          <w:bottom w:val="nil"/>
          <w:right w:val="nil"/>
          <w:between w:val="nil"/>
        </w:pBdr>
        <w:rPr>
          <w:rFonts w:ascii="Calibri" w:hAnsi="Calibri" w:cs="Calibri"/>
          <w:color w:val="000000"/>
          <w:sz w:val="24"/>
          <w:szCs w:val="24"/>
        </w:rPr>
      </w:pPr>
    </w:p>
    <w:p w14:paraId="2768FECF" w14:textId="734F4975" w:rsidR="00314ACD" w:rsidRPr="00D628FA" w:rsidRDefault="00525EFD" w:rsidP="00AE6CDF">
      <w:pPr>
        <w:pStyle w:val="ListParagraph"/>
        <w:numPr>
          <w:ilvl w:val="0"/>
          <w:numId w:val="1"/>
        </w:numPr>
        <w:jc w:val="both"/>
        <w:rPr>
          <w:rFonts w:ascii="Calibri" w:hAnsi="Calibri" w:cs="Calibri"/>
          <w:i/>
          <w:iCs/>
          <w:kern w:val="2"/>
          <w:sz w:val="24"/>
          <w:lang w:val="en-US" w:eastAsia="zh-CN"/>
          <w14:ligatures w14:val="none"/>
        </w:rPr>
      </w:pPr>
      <w:r>
        <w:rPr>
          <w:rFonts w:ascii="Calibri" w:hAnsi="Calibri" w:cs="Calibri"/>
          <w:i/>
          <w:iCs/>
          <w:kern w:val="2"/>
          <w:sz w:val="24"/>
          <w:lang w:val="en-US" w:eastAsia="zh-CN"/>
          <w14:ligatures w14:val="none"/>
        </w:rPr>
        <w:t>Investors</w:t>
      </w:r>
      <w:r w:rsidR="00314ACD" w:rsidRPr="00D628FA">
        <w:rPr>
          <w:rFonts w:ascii="Calibri" w:hAnsi="Calibri" w:cs="Calibri"/>
          <w:i/>
          <w:iCs/>
          <w:kern w:val="2"/>
          <w:sz w:val="24"/>
          <w:lang w:val="en-US" w:eastAsia="zh-CN"/>
          <w14:ligatures w14:val="none"/>
        </w:rPr>
        <w:t xml:space="preserve"> are embracing other thematic labels</w:t>
      </w:r>
    </w:p>
    <w:p w14:paraId="1550DC6B" w14:textId="2F887D2C" w:rsidR="002D1440" w:rsidRDefault="00AE6CDF" w:rsidP="00AE6CDF">
      <w:pPr>
        <w:spacing w:line="259" w:lineRule="auto"/>
        <w:rPr>
          <w:rFonts w:ascii="Calibri" w:hAnsi="Calibri" w:cs="Calibri"/>
          <w:color w:val="000000"/>
          <w:sz w:val="24"/>
          <w:szCs w:val="24"/>
        </w:rPr>
      </w:pPr>
      <w:r>
        <w:rPr>
          <w:rFonts w:ascii="Calibri" w:hAnsi="Calibri" w:cs="Calibri"/>
          <w:color w:val="000000"/>
          <w:sz w:val="24"/>
          <w:szCs w:val="24"/>
        </w:rPr>
        <w:t xml:space="preserve">Investors </w:t>
      </w:r>
      <w:r w:rsidR="005C3459" w:rsidRPr="005C3459">
        <w:rPr>
          <w:rFonts w:ascii="Calibri" w:hAnsi="Calibri" w:cs="Calibri"/>
          <w:color w:val="000000"/>
          <w:sz w:val="24"/>
          <w:szCs w:val="24"/>
        </w:rPr>
        <w:t xml:space="preserve">were eager to </w:t>
      </w:r>
      <w:r w:rsidR="000953F2">
        <w:rPr>
          <w:rFonts w:ascii="Calibri" w:hAnsi="Calibri" w:cs="Calibri"/>
          <w:color w:val="000000"/>
          <w:sz w:val="24"/>
          <w:szCs w:val="24"/>
        </w:rPr>
        <w:t>move beyond</w:t>
      </w:r>
      <w:r w:rsidR="005C3459" w:rsidRPr="005C3459">
        <w:rPr>
          <w:rFonts w:ascii="Calibri" w:hAnsi="Calibri" w:cs="Calibri"/>
          <w:color w:val="000000"/>
          <w:sz w:val="24"/>
          <w:szCs w:val="24"/>
        </w:rPr>
        <w:t xml:space="preserve"> the green label and </w:t>
      </w:r>
      <w:r w:rsidR="000953F2">
        <w:rPr>
          <w:rFonts w:ascii="Calibri" w:hAnsi="Calibri" w:cs="Calibri"/>
          <w:color w:val="000000"/>
          <w:sz w:val="24"/>
          <w:szCs w:val="24"/>
        </w:rPr>
        <w:t>explore</w:t>
      </w:r>
      <w:r w:rsidR="005C3459" w:rsidRPr="005C3459">
        <w:rPr>
          <w:rFonts w:ascii="Calibri" w:hAnsi="Calibri" w:cs="Calibri"/>
          <w:color w:val="000000"/>
          <w:sz w:val="24"/>
          <w:szCs w:val="24"/>
        </w:rPr>
        <w:t xml:space="preserve"> other thematic labels. Although social bonds are used in fewer investment </w:t>
      </w:r>
      <w:r w:rsidR="00BD790C" w:rsidRPr="00C42EDC">
        <w:rPr>
          <w:rFonts w:ascii="Calibri" w:hAnsi="Calibri" w:cs="Calibri"/>
          <w:color w:val="000000"/>
          <w:sz w:val="24"/>
          <w:szCs w:val="24"/>
        </w:rPr>
        <w:t>policies</w:t>
      </w:r>
      <w:r w:rsidR="005C3459" w:rsidRPr="005C3459">
        <w:rPr>
          <w:rFonts w:ascii="Calibri" w:hAnsi="Calibri" w:cs="Calibri"/>
          <w:color w:val="000000"/>
          <w:sz w:val="24"/>
          <w:szCs w:val="24"/>
        </w:rPr>
        <w:t xml:space="preserve"> than green bonds, </w:t>
      </w:r>
      <w:r w:rsidR="00511F9E">
        <w:rPr>
          <w:rFonts w:ascii="Calibri" w:hAnsi="Calibri" w:cs="Calibri"/>
          <w:color w:val="000000"/>
          <w:sz w:val="24"/>
          <w:szCs w:val="24"/>
        </w:rPr>
        <w:t xml:space="preserve">growing demand was identified, especially </w:t>
      </w:r>
      <w:r w:rsidR="005C3459" w:rsidRPr="005C3459">
        <w:rPr>
          <w:rFonts w:ascii="Calibri" w:hAnsi="Calibri" w:cs="Calibri"/>
          <w:color w:val="000000"/>
          <w:sz w:val="24"/>
          <w:szCs w:val="24"/>
        </w:rPr>
        <w:t xml:space="preserve">among </w:t>
      </w:r>
      <w:r w:rsidR="005C3459" w:rsidRPr="00C42EDC">
        <w:rPr>
          <w:rFonts w:ascii="Calibri" w:hAnsi="Calibri" w:cs="Calibri"/>
          <w:color w:val="000000"/>
          <w:sz w:val="24"/>
          <w:szCs w:val="24"/>
        </w:rPr>
        <w:t>international</w:t>
      </w:r>
      <w:r w:rsidR="005C3459" w:rsidRPr="005C3459">
        <w:rPr>
          <w:rFonts w:ascii="Calibri" w:hAnsi="Calibri" w:cs="Calibri"/>
          <w:color w:val="000000"/>
          <w:sz w:val="24"/>
          <w:szCs w:val="24"/>
        </w:rPr>
        <w:t xml:space="preserve"> respondents.</w:t>
      </w:r>
    </w:p>
    <w:p w14:paraId="67910BB4" w14:textId="77777777" w:rsidR="00BD790C" w:rsidRDefault="00BD790C" w:rsidP="00BD790C">
      <w:pPr>
        <w:spacing w:line="259" w:lineRule="auto"/>
        <w:rPr>
          <w:rFonts w:ascii="Calibri" w:hAnsi="Calibri" w:cs="Calibri"/>
          <w:color w:val="000000"/>
          <w:sz w:val="24"/>
          <w:szCs w:val="24"/>
        </w:rPr>
      </w:pPr>
    </w:p>
    <w:p w14:paraId="3AF6BFB6" w14:textId="3DB6E574" w:rsidR="00C50104" w:rsidRPr="00844CE1" w:rsidRDefault="00C50104" w:rsidP="00C50104">
      <w:pPr>
        <w:spacing w:line="259" w:lineRule="auto"/>
        <w:rPr>
          <w:rFonts w:ascii="Calibri" w:hAnsi="Calibri" w:cs="Calibri"/>
          <w:b/>
          <w:bCs/>
          <w:color w:val="000000"/>
          <w:sz w:val="24"/>
          <w:szCs w:val="24"/>
        </w:rPr>
      </w:pPr>
      <w:r>
        <w:rPr>
          <w:rFonts w:ascii="Calibri" w:hAnsi="Calibri" w:cs="Calibri"/>
          <w:b/>
          <w:bCs/>
          <w:color w:val="000000"/>
          <w:sz w:val="24"/>
          <w:szCs w:val="24"/>
          <w:lang w:val="en-HK"/>
        </w:rPr>
        <w:t xml:space="preserve">Said </w:t>
      </w:r>
      <w:r w:rsidR="002E7C2F" w:rsidRPr="002E7C2F">
        <w:rPr>
          <w:rFonts w:ascii="Calibri" w:hAnsi="Calibri" w:cs="Calibri"/>
          <w:b/>
          <w:bCs/>
          <w:color w:val="000000"/>
          <w:sz w:val="24"/>
          <w:szCs w:val="24"/>
          <w:lang w:val="en-HK"/>
        </w:rPr>
        <w:t>Julien Martin, Managing Director, Head of Emerging Business Development</w:t>
      </w:r>
      <w:r w:rsidR="002E7C2F" w:rsidRPr="00C50104">
        <w:rPr>
          <w:rFonts w:ascii="Calibri" w:hAnsi="Calibri" w:cs="Calibri"/>
          <w:b/>
          <w:bCs/>
          <w:color w:val="000000"/>
          <w:sz w:val="24"/>
          <w:szCs w:val="24"/>
          <w:lang w:val="en-HK"/>
        </w:rPr>
        <w:t xml:space="preserve">, </w:t>
      </w:r>
      <w:r w:rsidRPr="00C50104">
        <w:rPr>
          <w:rFonts w:ascii="Calibri" w:hAnsi="Calibri" w:cs="Calibri"/>
          <w:b/>
          <w:bCs/>
          <w:color w:val="000000"/>
          <w:sz w:val="24"/>
          <w:szCs w:val="24"/>
        </w:rPr>
        <w:t>Hong Kong Exchanges and Clearing Limited (HKEX)</w:t>
      </w:r>
      <w:r w:rsidR="00844CE1">
        <w:rPr>
          <w:rFonts w:ascii="Calibri" w:hAnsi="Calibri" w:cs="Calibri"/>
          <w:b/>
          <w:bCs/>
          <w:color w:val="000000"/>
          <w:sz w:val="24"/>
          <w:szCs w:val="24"/>
        </w:rPr>
        <w:t>:</w:t>
      </w:r>
    </w:p>
    <w:p w14:paraId="645A9936" w14:textId="77777777" w:rsidR="002E7C2F" w:rsidRPr="002E7C2F" w:rsidRDefault="002E7C2F" w:rsidP="002E7C2F">
      <w:pPr>
        <w:spacing w:line="259" w:lineRule="auto"/>
        <w:rPr>
          <w:rFonts w:ascii="Calibri" w:hAnsi="Calibri" w:cs="Calibri"/>
          <w:color w:val="000000"/>
          <w:sz w:val="24"/>
          <w:szCs w:val="24"/>
        </w:rPr>
      </w:pPr>
      <w:r w:rsidRPr="002E7C2F">
        <w:rPr>
          <w:rFonts w:ascii="Calibri" w:hAnsi="Calibri" w:cs="Calibri"/>
          <w:b/>
          <w:bCs/>
          <w:color w:val="000000"/>
          <w:sz w:val="24"/>
          <w:szCs w:val="24"/>
          <w:lang w:val="en-HK"/>
        </w:rPr>
        <w:t> </w:t>
      </w:r>
    </w:p>
    <w:p w14:paraId="02B49153" w14:textId="77777777" w:rsidR="002E7C2F" w:rsidRPr="002E7C2F" w:rsidRDefault="002E7C2F" w:rsidP="002E7C2F">
      <w:pPr>
        <w:spacing w:line="259" w:lineRule="auto"/>
        <w:rPr>
          <w:rFonts w:ascii="Calibri" w:hAnsi="Calibri" w:cs="Calibri"/>
          <w:color w:val="000000"/>
          <w:sz w:val="24"/>
          <w:szCs w:val="24"/>
        </w:rPr>
      </w:pPr>
      <w:r w:rsidRPr="002E7C2F">
        <w:rPr>
          <w:rFonts w:ascii="Calibri" w:hAnsi="Calibri" w:cs="Calibri"/>
          <w:color w:val="000000"/>
          <w:sz w:val="24"/>
          <w:szCs w:val="24"/>
        </w:rPr>
        <w:t>“Global demand for China’s green bond investments, as reflected in the survey findings, has been growing at a very rapid pace. Sitting at the heart of Asia’s capital markets, HKEX has a key role to play in facilitating global capital participation in China’s low-carbon transition. By providing a diverse range of green, social and sustainable bond products, and offering transparency and voluntary disclosure of green bond products, we are committed to supporting businesses on their sustainability agenda, and helping global investors diversify their portfolios and to capture the opportunities from China and the region’s journey to net zero.”</w:t>
      </w:r>
    </w:p>
    <w:p w14:paraId="0A3D867E" w14:textId="167E1112" w:rsidR="002D1440" w:rsidRDefault="002E7C2F" w:rsidP="00D628FA">
      <w:pPr>
        <w:spacing w:line="259" w:lineRule="auto"/>
        <w:rPr>
          <w:rFonts w:ascii="Calibri" w:hAnsi="Calibri" w:cs="Calibri"/>
          <w:color w:val="000000"/>
          <w:sz w:val="24"/>
          <w:szCs w:val="24"/>
        </w:rPr>
      </w:pPr>
      <w:r w:rsidRPr="002E7C2F">
        <w:rPr>
          <w:rFonts w:ascii="Calibri" w:hAnsi="Calibri" w:cs="Calibri"/>
          <w:color w:val="000000"/>
          <w:sz w:val="24"/>
          <w:szCs w:val="24"/>
        </w:rPr>
        <w:t> </w:t>
      </w:r>
    </w:p>
    <w:p w14:paraId="7D61A96A" w14:textId="26AD4B75" w:rsidR="004C263E" w:rsidRDefault="004C263E" w:rsidP="00D628FA">
      <w:pPr>
        <w:spacing w:line="259" w:lineRule="auto"/>
        <w:rPr>
          <w:rFonts w:ascii="Calibri" w:hAnsi="Calibri" w:cs="Calibri"/>
          <w:color w:val="000000"/>
          <w:sz w:val="24"/>
          <w:szCs w:val="24"/>
        </w:rPr>
      </w:pPr>
    </w:p>
    <w:p w14:paraId="61349C65" w14:textId="77777777" w:rsidR="004C263E" w:rsidRPr="00844CE1" w:rsidRDefault="004C263E" w:rsidP="00D628FA">
      <w:pPr>
        <w:spacing w:line="259" w:lineRule="auto"/>
        <w:rPr>
          <w:rFonts w:ascii="Calibri" w:hAnsi="Calibri" w:cs="Calibri"/>
          <w:color w:val="000000"/>
          <w:sz w:val="24"/>
          <w:szCs w:val="24"/>
        </w:rPr>
      </w:pPr>
    </w:p>
    <w:p w14:paraId="02D12189" w14:textId="1DC69223" w:rsidR="002D1440" w:rsidRPr="00C50104" w:rsidRDefault="00844CE1" w:rsidP="00D628FA">
      <w:pPr>
        <w:spacing w:line="259" w:lineRule="auto"/>
        <w:rPr>
          <w:rFonts w:ascii="Calibri" w:hAnsi="Calibri" w:cs="Calibri"/>
          <w:color w:val="000000"/>
          <w:sz w:val="24"/>
          <w:szCs w:val="24"/>
        </w:rPr>
      </w:pPr>
      <w:r>
        <w:rPr>
          <w:rFonts w:ascii="Calibri" w:hAnsi="Calibri" w:cs="Calibri"/>
          <w:b/>
          <w:bCs/>
          <w:color w:val="000000"/>
          <w:sz w:val="24"/>
          <w:szCs w:val="24"/>
        </w:rPr>
        <w:t xml:space="preserve">Said </w:t>
      </w:r>
      <w:r w:rsidR="001B3410" w:rsidRPr="00C50104">
        <w:rPr>
          <w:rFonts w:ascii="Calibri" w:hAnsi="Calibri" w:cs="Calibri"/>
          <w:b/>
          <w:bCs/>
          <w:color w:val="000000"/>
          <w:sz w:val="24"/>
          <w:szCs w:val="24"/>
        </w:rPr>
        <w:t xml:space="preserve">Olivier </w:t>
      </w:r>
      <w:proofErr w:type="spellStart"/>
      <w:r w:rsidR="001B3410" w:rsidRPr="00C50104">
        <w:rPr>
          <w:rFonts w:ascii="Calibri" w:hAnsi="Calibri" w:cs="Calibri"/>
          <w:b/>
          <w:bCs/>
          <w:color w:val="000000"/>
          <w:sz w:val="24"/>
          <w:szCs w:val="24"/>
        </w:rPr>
        <w:t>M</w:t>
      </w:r>
      <w:r w:rsidR="00D47E4D" w:rsidRPr="00C50104">
        <w:rPr>
          <w:rFonts w:ascii="Calibri" w:hAnsi="Calibri" w:cs="Calibri"/>
          <w:b/>
          <w:bCs/>
          <w:color w:val="000000"/>
          <w:sz w:val="24"/>
          <w:szCs w:val="24"/>
        </w:rPr>
        <w:t>é</w:t>
      </w:r>
      <w:r w:rsidR="001B3410" w:rsidRPr="00C50104">
        <w:rPr>
          <w:rFonts w:ascii="Calibri" w:hAnsi="Calibri" w:cs="Calibri"/>
          <w:b/>
          <w:bCs/>
          <w:color w:val="000000"/>
          <w:sz w:val="24"/>
          <w:szCs w:val="24"/>
        </w:rPr>
        <w:t>nard</w:t>
      </w:r>
      <w:proofErr w:type="spellEnd"/>
      <w:r w:rsidR="001B3410" w:rsidRPr="00C50104">
        <w:rPr>
          <w:rFonts w:ascii="Calibri" w:hAnsi="Calibri" w:cs="Calibri"/>
          <w:b/>
          <w:bCs/>
          <w:color w:val="000000"/>
          <w:sz w:val="24"/>
          <w:szCs w:val="24"/>
        </w:rPr>
        <w:t>, Head of the Green &amp; Sustainable Hub in Asia Pacific</w:t>
      </w:r>
      <w:r w:rsidR="002D1440" w:rsidRPr="00C50104">
        <w:rPr>
          <w:rFonts w:ascii="Calibri" w:hAnsi="Calibri" w:cs="Calibri"/>
          <w:b/>
          <w:bCs/>
          <w:color w:val="000000"/>
          <w:sz w:val="24"/>
          <w:szCs w:val="24"/>
        </w:rPr>
        <w:t>, Natixis CIB</w:t>
      </w:r>
      <w:r w:rsidR="002D1440" w:rsidRPr="00C50104">
        <w:rPr>
          <w:rFonts w:ascii="Calibri" w:hAnsi="Calibri" w:cs="Calibri"/>
          <w:color w:val="000000"/>
          <w:sz w:val="24"/>
          <w:szCs w:val="24"/>
        </w:rPr>
        <w:t>:</w:t>
      </w:r>
    </w:p>
    <w:p w14:paraId="0B55B35A" w14:textId="0F471F17" w:rsidR="004C263E" w:rsidRDefault="002D1440" w:rsidP="00D628FA">
      <w:pPr>
        <w:spacing w:line="259" w:lineRule="auto"/>
        <w:rPr>
          <w:rFonts w:ascii="Calibri" w:hAnsi="Calibri" w:cs="Calibri"/>
          <w:color w:val="000000"/>
          <w:sz w:val="24"/>
          <w:szCs w:val="24"/>
        </w:rPr>
      </w:pPr>
      <w:r w:rsidRPr="00C50104">
        <w:rPr>
          <w:rFonts w:ascii="Calibri" w:hAnsi="Calibri" w:cs="Calibri"/>
          <w:color w:val="000000"/>
          <w:sz w:val="24"/>
          <w:szCs w:val="24"/>
        </w:rPr>
        <w:t>“</w:t>
      </w:r>
      <w:r w:rsidR="00D47E4D" w:rsidRPr="00C50104">
        <w:rPr>
          <w:rFonts w:ascii="Calibri" w:hAnsi="Calibri" w:cs="Calibri"/>
          <w:color w:val="000000"/>
          <w:sz w:val="24"/>
          <w:szCs w:val="24"/>
        </w:rPr>
        <w:t xml:space="preserve">The Green bond market has and will continue to play a positive and meaningful role </w:t>
      </w:r>
    </w:p>
    <w:p w14:paraId="4338AE81" w14:textId="4581458B" w:rsidR="002D1440" w:rsidRPr="00D47E4D" w:rsidRDefault="00D47E4D" w:rsidP="00D628FA">
      <w:pPr>
        <w:spacing w:line="259" w:lineRule="auto"/>
        <w:rPr>
          <w:rFonts w:ascii="Calibri" w:hAnsi="Calibri" w:cs="Calibri"/>
          <w:color w:val="000000"/>
          <w:sz w:val="24"/>
          <w:szCs w:val="24"/>
        </w:rPr>
      </w:pPr>
      <w:r w:rsidRPr="00C50104">
        <w:rPr>
          <w:rFonts w:ascii="Calibri" w:hAnsi="Calibri" w:cs="Calibri"/>
          <w:color w:val="000000"/>
          <w:sz w:val="24"/>
          <w:szCs w:val="24"/>
        </w:rPr>
        <w:t xml:space="preserve">in China’s transition story. The survey has shown that domestic and international investors in these instruments are willing to look at broader thematic bonds, under the right conditions and provided they are credible and transparent, which the regulators are actively working towards. </w:t>
      </w:r>
      <w:bookmarkStart w:id="1" w:name="_Hlk100571809"/>
      <w:r w:rsidRPr="00C50104">
        <w:rPr>
          <w:rFonts w:ascii="Calibri" w:hAnsi="Calibri" w:cs="Calibri"/>
          <w:color w:val="000000"/>
          <w:sz w:val="24"/>
          <w:szCs w:val="24"/>
        </w:rPr>
        <w:t>This bodes well for China as it strives towards it</w:t>
      </w:r>
      <w:r w:rsidR="0089173F" w:rsidRPr="00C50104">
        <w:rPr>
          <w:rFonts w:ascii="Calibri" w:hAnsi="Calibri" w:cs="Calibri"/>
          <w:color w:val="000000"/>
          <w:sz w:val="24"/>
          <w:szCs w:val="24"/>
        </w:rPr>
        <w:t xml:space="preserve">s carbon-neutral </w:t>
      </w:r>
      <w:r w:rsidRPr="00C50104">
        <w:rPr>
          <w:rFonts w:ascii="Calibri" w:hAnsi="Calibri" w:cs="Calibri"/>
          <w:color w:val="000000"/>
          <w:sz w:val="24"/>
          <w:szCs w:val="24"/>
        </w:rPr>
        <w:t>targets</w:t>
      </w:r>
      <w:bookmarkEnd w:id="1"/>
      <w:r w:rsidRPr="00C50104">
        <w:rPr>
          <w:rFonts w:ascii="Calibri" w:hAnsi="Calibri" w:cs="Calibri"/>
          <w:color w:val="000000"/>
          <w:sz w:val="24"/>
          <w:szCs w:val="24"/>
        </w:rPr>
        <w:t>.</w:t>
      </w:r>
      <w:r w:rsidR="002D1440" w:rsidRPr="00C50104">
        <w:rPr>
          <w:rFonts w:ascii="Calibri" w:hAnsi="Calibri" w:cs="Calibri"/>
          <w:color w:val="000000"/>
          <w:sz w:val="24"/>
          <w:szCs w:val="24"/>
        </w:rPr>
        <w:t>”</w:t>
      </w:r>
    </w:p>
    <w:p w14:paraId="167F3933" w14:textId="7431CF59" w:rsidR="002D1440" w:rsidRDefault="002D1440" w:rsidP="00D628FA">
      <w:pPr>
        <w:spacing w:line="259" w:lineRule="auto"/>
        <w:rPr>
          <w:rFonts w:ascii="Calibri" w:hAnsi="Calibri" w:cs="Calibri"/>
          <w:color w:val="000000"/>
          <w:sz w:val="24"/>
          <w:szCs w:val="24"/>
        </w:rPr>
      </w:pPr>
    </w:p>
    <w:p w14:paraId="19D42948" w14:textId="0EC9475F" w:rsidR="00106085" w:rsidRDefault="00106085" w:rsidP="00106085">
      <w:pPr>
        <w:spacing w:line="259" w:lineRule="auto"/>
        <w:rPr>
          <w:rFonts w:ascii="Calibri" w:hAnsi="Calibri" w:cs="Calibri"/>
          <w:b/>
          <w:bCs/>
          <w:color w:val="000000"/>
          <w:sz w:val="24"/>
          <w:szCs w:val="24"/>
        </w:rPr>
      </w:pPr>
      <w:r w:rsidRPr="00106085">
        <w:rPr>
          <w:rFonts w:ascii="Calibri" w:hAnsi="Calibri" w:cs="Calibri"/>
          <w:b/>
          <w:bCs/>
          <w:color w:val="000000"/>
          <w:sz w:val="24"/>
          <w:szCs w:val="24"/>
        </w:rPr>
        <w:t xml:space="preserve">Said Dr. Guo </w:t>
      </w:r>
      <w:proofErr w:type="spellStart"/>
      <w:r w:rsidRPr="00106085">
        <w:rPr>
          <w:rFonts w:ascii="Calibri" w:hAnsi="Calibri" w:cs="Calibri"/>
          <w:b/>
          <w:bCs/>
          <w:color w:val="000000"/>
          <w:sz w:val="24"/>
          <w:szCs w:val="24"/>
        </w:rPr>
        <w:t>Peiyuan</w:t>
      </w:r>
      <w:proofErr w:type="spellEnd"/>
      <w:r w:rsidRPr="00106085">
        <w:rPr>
          <w:rFonts w:ascii="Calibri" w:hAnsi="Calibri" w:cs="Calibri"/>
          <w:b/>
          <w:bCs/>
          <w:color w:val="000000"/>
          <w:sz w:val="24"/>
          <w:szCs w:val="24"/>
        </w:rPr>
        <w:t xml:space="preserve">, Chairman of </w:t>
      </w:r>
      <w:proofErr w:type="spellStart"/>
      <w:r w:rsidRPr="00106085">
        <w:rPr>
          <w:rFonts w:ascii="Calibri" w:hAnsi="Calibri" w:cs="Calibri"/>
          <w:b/>
          <w:bCs/>
          <w:color w:val="000000"/>
          <w:sz w:val="24"/>
          <w:szCs w:val="24"/>
        </w:rPr>
        <w:t>SynTao</w:t>
      </w:r>
      <w:proofErr w:type="spellEnd"/>
      <w:r w:rsidRPr="00106085">
        <w:rPr>
          <w:rFonts w:ascii="Calibri" w:hAnsi="Calibri" w:cs="Calibri"/>
          <w:b/>
          <w:bCs/>
          <w:color w:val="000000"/>
          <w:sz w:val="24"/>
          <w:szCs w:val="24"/>
        </w:rPr>
        <w:t xml:space="preserve"> Green Finance:</w:t>
      </w:r>
    </w:p>
    <w:p w14:paraId="5AC3C986" w14:textId="77777777" w:rsidR="00106085" w:rsidRPr="00106085" w:rsidRDefault="00106085" w:rsidP="00106085">
      <w:pPr>
        <w:spacing w:line="259" w:lineRule="auto"/>
        <w:rPr>
          <w:rFonts w:ascii="Calibri" w:hAnsi="Calibri" w:cs="Calibri"/>
          <w:b/>
          <w:bCs/>
          <w:color w:val="000000"/>
          <w:sz w:val="24"/>
          <w:szCs w:val="24"/>
        </w:rPr>
      </w:pPr>
    </w:p>
    <w:p w14:paraId="5621E74D" w14:textId="11B89A49" w:rsidR="00083B26" w:rsidRPr="00106085" w:rsidRDefault="00106085" w:rsidP="00083B26">
      <w:pPr>
        <w:spacing w:line="259" w:lineRule="auto"/>
        <w:rPr>
          <w:rFonts w:ascii="Calibri" w:hAnsi="Calibri" w:cs="Calibri"/>
          <w:color w:val="000000"/>
          <w:sz w:val="24"/>
          <w:szCs w:val="24"/>
        </w:rPr>
      </w:pPr>
      <w:r w:rsidRPr="00106085">
        <w:rPr>
          <w:rFonts w:ascii="Calibri" w:hAnsi="Calibri" w:cs="Calibri"/>
          <w:color w:val="000000"/>
          <w:sz w:val="24"/>
          <w:szCs w:val="24"/>
        </w:rPr>
        <w:t>“It is quite clear that both domestic investors and international investors have increasing appetites on green bonds by Chinese issuers. They want more green bonds from all sources, which will continuously stimulate bond issuance and bond innovation. It is also important to note that credit quality and green credentials are on investors' top considerations. External reviews and post-issuance disclosure are essential to improve investor confidence.</w:t>
      </w:r>
      <w:r w:rsidR="00083B26" w:rsidRPr="00106085">
        <w:rPr>
          <w:rFonts w:ascii="Calibri" w:hAnsi="Calibri" w:cs="Calibri"/>
          <w:color w:val="000000"/>
          <w:sz w:val="24"/>
          <w:szCs w:val="24"/>
        </w:rPr>
        <w:t>”</w:t>
      </w:r>
    </w:p>
    <w:p w14:paraId="35EC7E85" w14:textId="77777777" w:rsidR="00083B26" w:rsidRDefault="00083B26" w:rsidP="00D628FA">
      <w:pPr>
        <w:spacing w:line="259" w:lineRule="auto"/>
        <w:rPr>
          <w:rFonts w:ascii="Calibri" w:hAnsi="Calibri" w:cs="Calibri"/>
          <w:color w:val="000000"/>
          <w:sz w:val="24"/>
          <w:szCs w:val="24"/>
        </w:rPr>
      </w:pPr>
    </w:p>
    <w:p w14:paraId="30BA1FE6" w14:textId="54569114" w:rsidR="00DF7CB2" w:rsidRPr="00106085" w:rsidRDefault="00106085" w:rsidP="00D628FA">
      <w:pPr>
        <w:spacing w:line="259" w:lineRule="auto"/>
        <w:rPr>
          <w:rFonts w:ascii="Calibri" w:hAnsi="Calibri" w:cs="Calibri"/>
          <w:b/>
          <w:bCs/>
          <w:color w:val="000000"/>
          <w:sz w:val="24"/>
          <w:szCs w:val="24"/>
        </w:rPr>
      </w:pPr>
      <w:r>
        <w:rPr>
          <w:rFonts w:ascii="Calibri" w:hAnsi="Calibri" w:cs="Calibri"/>
          <w:b/>
          <w:bCs/>
          <w:color w:val="000000"/>
          <w:sz w:val="24"/>
          <w:szCs w:val="24"/>
        </w:rPr>
        <w:t xml:space="preserve">Said </w:t>
      </w:r>
      <w:r w:rsidR="002D1440" w:rsidRPr="00106085">
        <w:rPr>
          <w:rFonts w:ascii="Calibri" w:hAnsi="Calibri" w:cs="Calibri"/>
          <w:b/>
          <w:bCs/>
          <w:color w:val="000000"/>
          <w:sz w:val="24"/>
          <w:szCs w:val="24"/>
        </w:rPr>
        <w:t>Sean Kidney, CEO, Climate Bonds Initiative:</w:t>
      </w:r>
    </w:p>
    <w:p w14:paraId="2E50187F" w14:textId="77777777" w:rsidR="00AE6CDF" w:rsidRDefault="00AE6CDF" w:rsidP="0032276A">
      <w:pPr>
        <w:widowControl/>
        <w:jc w:val="left"/>
        <w:rPr>
          <w:rFonts w:ascii="Calibri" w:hAnsi="Calibri" w:cs="Calibri"/>
          <w:color w:val="000000"/>
          <w:sz w:val="24"/>
          <w:szCs w:val="24"/>
        </w:rPr>
      </w:pPr>
    </w:p>
    <w:p w14:paraId="1E9D3805" w14:textId="116A2F8D" w:rsidR="004D6304" w:rsidRPr="00B758AA" w:rsidRDefault="002D1440" w:rsidP="00AE6CDF">
      <w:pPr>
        <w:widowControl/>
        <w:rPr>
          <w:rFonts w:ascii="Times New Roman" w:eastAsia="Times New Roman" w:hAnsi="Times New Roman" w:cs="Times New Roman"/>
          <w:kern w:val="0"/>
          <w:sz w:val="24"/>
          <w:szCs w:val="24"/>
          <w:lang w:val="en-HK"/>
        </w:rPr>
      </w:pPr>
      <w:r w:rsidRPr="00B758AA">
        <w:rPr>
          <w:rFonts w:ascii="Calibri" w:hAnsi="Calibri" w:cs="Calibri"/>
          <w:color w:val="000000"/>
          <w:sz w:val="24"/>
          <w:szCs w:val="24"/>
        </w:rPr>
        <w:t>“</w:t>
      </w:r>
      <w:r w:rsidR="00B758AA">
        <w:rPr>
          <w:rFonts w:ascii="Calibri" w:hAnsi="Calibri" w:cs="Calibri" w:hint="eastAsia"/>
          <w:color w:val="000000"/>
          <w:sz w:val="24"/>
          <w:szCs w:val="24"/>
        </w:rPr>
        <w:t>The</w:t>
      </w:r>
      <w:r w:rsidR="00B758AA">
        <w:rPr>
          <w:rFonts w:ascii="Calibri" w:hAnsi="Calibri" w:cs="Calibri"/>
          <w:color w:val="000000"/>
          <w:sz w:val="24"/>
          <w:szCs w:val="24"/>
          <w:lang w:val="en-GB"/>
        </w:rPr>
        <w:t xml:space="preserve"> results of this survey tell us that there is strong demand for more high-quality green bonds</w:t>
      </w:r>
      <w:r w:rsidR="00E133D3">
        <w:rPr>
          <w:rFonts w:ascii="Calibri" w:hAnsi="Calibri" w:cs="Calibri"/>
          <w:color w:val="000000"/>
          <w:sz w:val="24"/>
          <w:szCs w:val="24"/>
          <w:lang w:val="en-GB"/>
        </w:rPr>
        <w:t xml:space="preserve"> among investors</w:t>
      </w:r>
      <w:r w:rsidR="00B758AA">
        <w:rPr>
          <w:rFonts w:ascii="Calibri" w:hAnsi="Calibri" w:cs="Calibri"/>
          <w:color w:val="000000"/>
          <w:sz w:val="24"/>
          <w:szCs w:val="24"/>
          <w:lang w:val="en-GB"/>
        </w:rPr>
        <w:t xml:space="preserve">. China’s decarbonisation journey will continue to </w:t>
      </w:r>
      <w:r w:rsidR="00E133D3">
        <w:rPr>
          <w:rFonts w:ascii="Calibri" w:hAnsi="Calibri" w:cs="Calibri"/>
          <w:color w:val="000000"/>
          <w:sz w:val="24"/>
          <w:szCs w:val="24"/>
          <w:lang w:val="en-GB"/>
        </w:rPr>
        <w:t>channel</w:t>
      </w:r>
      <w:r w:rsidR="00B758AA">
        <w:rPr>
          <w:rFonts w:ascii="Calibri" w:hAnsi="Calibri" w:cs="Calibri"/>
          <w:color w:val="000000"/>
          <w:sz w:val="24"/>
          <w:szCs w:val="24"/>
          <w:lang w:val="en-GB"/>
        </w:rPr>
        <w:t xml:space="preserve"> investment towards projects and assets dedicated to climate change mitigation.” </w:t>
      </w:r>
    </w:p>
    <w:p w14:paraId="5348345C" w14:textId="4A6A64BE" w:rsidR="004D6304" w:rsidRPr="004D6304" w:rsidRDefault="00B758AA" w:rsidP="00AE6CDF">
      <w:pPr>
        <w:shd w:val="clear" w:color="auto" w:fill="FFFFFF"/>
        <w:spacing w:line="225" w:lineRule="atLeast"/>
        <w:rPr>
          <w:rFonts w:ascii="DengXian" w:eastAsia="DengXian" w:hAnsi="DengXian" w:cs="Arial"/>
          <w:color w:val="222222"/>
          <w:kern w:val="0"/>
          <w:szCs w:val="21"/>
          <w:lang w:val="en-HK"/>
        </w:rPr>
      </w:pPr>
      <w:r>
        <w:rPr>
          <w:rFonts w:ascii="Calibri" w:hAnsi="Calibri" w:cs="Calibri"/>
          <w:color w:val="000000"/>
          <w:sz w:val="24"/>
          <w:szCs w:val="24"/>
        </w:rPr>
        <w:br/>
        <w:t xml:space="preserve">“This momentum gives </w:t>
      </w:r>
      <w:proofErr w:type="gramStart"/>
      <w:r>
        <w:rPr>
          <w:rFonts w:ascii="Calibri" w:hAnsi="Calibri" w:cs="Calibri"/>
          <w:color w:val="000000"/>
          <w:sz w:val="24"/>
          <w:szCs w:val="24"/>
        </w:rPr>
        <w:t>policy-makers</w:t>
      </w:r>
      <w:proofErr w:type="gramEnd"/>
      <w:r>
        <w:rPr>
          <w:rFonts w:ascii="Calibri" w:hAnsi="Calibri" w:cs="Calibri"/>
          <w:color w:val="000000"/>
          <w:sz w:val="24"/>
          <w:szCs w:val="24"/>
        </w:rPr>
        <w:t xml:space="preserve"> </w:t>
      </w:r>
      <w:r w:rsidR="00E133D3">
        <w:rPr>
          <w:rFonts w:ascii="Calibri" w:hAnsi="Calibri" w:cs="Calibri"/>
          <w:color w:val="000000"/>
          <w:sz w:val="24"/>
          <w:szCs w:val="24"/>
        </w:rPr>
        <w:t xml:space="preserve">and market participants </w:t>
      </w:r>
      <w:r>
        <w:rPr>
          <w:rFonts w:ascii="Calibri" w:hAnsi="Calibri" w:cs="Calibri"/>
          <w:color w:val="000000"/>
          <w:sz w:val="24"/>
          <w:szCs w:val="24"/>
        </w:rPr>
        <w:t xml:space="preserve">opportunities to facilitate the further acceleration of the Chinese green bond market. </w:t>
      </w:r>
      <w:r w:rsidR="00762227">
        <w:rPr>
          <w:rFonts w:ascii="Calibri" w:hAnsi="Calibri" w:cs="Calibri"/>
          <w:color w:val="000000"/>
          <w:sz w:val="24"/>
          <w:szCs w:val="24"/>
        </w:rPr>
        <w:t>C</w:t>
      </w:r>
      <w:r>
        <w:rPr>
          <w:rFonts w:ascii="Calibri" w:hAnsi="Calibri" w:cs="Calibri"/>
          <w:color w:val="000000"/>
          <w:sz w:val="24"/>
          <w:szCs w:val="24"/>
        </w:rPr>
        <w:t>onsistent regulatory guidelines on standards, transparency, and incentives can be instrumental in ensuring a credible and orderly expansion.”</w:t>
      </w:r>
    </w:p>
    <w:p w14:paraId="46CD396B" w14:textId="77777777" w:rsidR="00224079" w:rsidRDefault="00224079" w:rsidP="00D628FA">
      <w:pPr>
        <w:spacing w:line="259" w:lineRule="auto"/>
        <w:rPr>
          <w:rFonts w:ascii="Calibri" w:hAnsi="Calibri" w:cs="Calibri"/>
          <w:color w:val="000000"/>
          <w:sz w:val="24"/>
          <w:szCs w:val="24"/>
        </w:rPr>
      </w:pPr>
    </w:p>
    <w:p w14:paraId="36CBC203" w14:textId="4C94EDD4" w:rsidR="002D1440" w:rsidRPr="008C7659" w:rsidRDefault="002D1440" w:rsidP="002D1440">
      <w:pPr>
        <w:spacing w:line="259" w:lineRule="auto"/>
        <w:rPr>
          <w:rFonts w:ascii="Calibri" w:hAnsi="Calibri" w:cs="Calibri"/>
          <w:b/>
          <w:bCs/>
          <w:color w:val="000000"/>
          <w:sz w:val="24"/>
          <w:szCs w:val="24"/>
        </w:rPr>
      </w:pPr>
      <w:r w:rsidRPr="008C7659">
        <w:rPr>
          <w:rFonts w:ascii="Calibri" w:hAnsi="Calibri" w:cs="Calibri"/>
          <w:b/>
          <w:bCs/>
          <w:color w:val="000000"/>
          <w:sz w:val="24"/>
          <w:szCs w:val="24"/>
        </w:rPr>
        <w:t xml:space="preserve">To download the report, click </w:t>
      </w:r>
      <w:hyperlink r:id="rId12" w:history="1">
        <w:r w:rsidRPr="00844CE1">
          <w:rPr>
            <w:rStyle w:val="Hyperlink"/>
            <w:rFonts w:ascii="Calibri" w:hAnsi="Calibri" w:cs="Calibri"/>
            <w:b/>
            <w:bCs/>
            <w:sz w:val="24"/>
            <w:szCs w:val="24"/>
          </w:rPr>
          <w:t>here</w:t>
        </w:r>
      </w:hyperlink>
      <w:r w:rsidRPr="00844CE1">
        <w:rPr>
          <w:rFonts w:ascii="Calibri" w:hAnsi="Calibri" w:cs="Calibri"/>
          <w:b/>
          <w:bCs/>
          <w:color w:val="000000"/>
          <w:sz w:val="24"/>
          <w:szCs w:val="24"/>
        </w:rPr>
        <w:t>.</w:t>
      </w:r>
    </w:p>
    <w:p w14:paraId="6AA6F521" w14:textId="77777777" w:rsidR="002D1440" w:rsidRPr="002D1440" w:rsidRDefault="002D1440" w:rsidP="002D1440">
      <w:pPr>
        <w:spacing w:line="259" w:lineRule="auto"/>
        <w:rPr>
          <w:rFonts w:ascii="Calibri" w:hAnsi="Calibri" w:cs="Calibri"/>
          <w:color w:val="000000"/>
          <w:sz w:val="24"/>
          <w:szCs w:val="24"/>
        </w:rPr>
      </w:pPr>
    </w:p>
    <w:p w14:paraId="41DEBBB1" w14:textId="551A1B10" w:rsidR="002D1440" w:rsidRDefault="002D1440" w:rsidP="002D1440">
      <w:pPr>
        <w:spacing w:line="259" w:lineRule="auto"/>
        <w:rPr>
          <w:rFonts w:ascii="Calibri" w:hAnsi="Calibri" w:cs="Calibri"/>
          <w:b/>
          <w:bCs/>
          <w:color w:val="000000"/>
          <w:sz w:val="24"/>
          <w:szCs w:val="24"/>
        </w:rPr>
      </w:pPr>
      <w:r w:rsidRPr="008C7659">
        <w:rPr>
          <w:rFonts w:ascii="Calibri" w:hAnsi="Calibri" w:cs="Calibri"/>
          <w:b/>
          <w:bCs/>
          <w:color w:val="000000"/>
          <w:sz w:val="24"/>
          <w:szCs w:val="24"/>
        </w:rPr>
        <w:t>For more information, please contact:</w:t>
      </w:r>
    </w:p>
    <w:p w14:paraId="658D171E" w14:textId="77777777" w:rsidR="008C7659" w:rsidRPr="008C7659" w:rsidRDefault="008C7659" w:rsidP="002D1440">
      <w:pPr>
        <w:spacing w:line="259" w:lineRule="auto"/>
        <w:rPr>
          <w:rFonts w:ascii="Calibri" w:hAnsi="Calibri" w:cs="Calibri"/>
          <w:b/>
          <w:bCs/>
          <w:color w:val="000000"/>
          <w:sz w:val="24"/>
          <w:szCs w:val="24"/>
        </w:rPr>
      </w:pPr>
    </w:p>
    <w:p w14:paraId="0C460AC6" w14:textId="77777777" w:rsidR="00AD19F2" w:rsidRDefault="00AD19F2" w:rsidP="002D1440">
      <w:pPr>
        <w:spacing w:line="259" w:lineRule="auto"/>
        <w:rPr>
          <w:rFonts w:ascii="Calibri" w:hAnsi="Calibri" w:cs="Calibri"/>
          <w:color w:val="000000"/>
          <w:sz w:val="24"/>
          <w:szCs w:val="24"/>
        </w:rPr>
        <w:sectPr w:rsidR="00AD19F2">
          <w:headerReference w:type="default" r:id="rId13"/>
          <w:footerReference w:type="default" r:id="rId14"/>
          <w:pgSz w:w="11906" w:h="16838"/>
          <w:pgMar w:top="1440" w:right="1800" w:bottom="1440" w:left="1800" w:header="851" w:footer="992" w:gutter="0"/>
          <w:cols w:space="425"/>
          <w:docGrid w:type="lines" w:linePitch="312"/>
        </w:sectPr>
      </w:pPr>
    </w:p>
    <w:p w14:paraId="18D33D89" w14:textId="77777777" w:rsidR="002D1440" w:rsidRPr="002D1440" w:rsidRDefault="002D1440" w:rsidP="002D1440">
      <w:pPr>
        <w:spacing w:line="259" w:lineRule="auto"/>
        <w:rPr>
          <w:rFonts w:ascii="Calibri" w:hAnsi="Calibri" w:cs="Calibri"/>
          <w:color w:val="000000"/>
          <w:sz w:val="24"/>
          <w:szCs w:val="24"/>
        </w:rPr>
      </w:pPr>
      <w:r w:rsidRPr="002D1440">
        <w:rPr>
          <w:rFonts w:ascii="Calibri" w:hAnsi="Calibri" w:cs="Calibri"/>
          <w:color w:val="000000"/>
          <w:sz w:val="24"/>
          <w:szCs w:val="24"/>
        </w:rPr>
        <w:t xml:space="preserve">Mariana </w:t>
      </w:r>
      <w:proofErr w:type="spellStart"/>
      <w:r w:rsidRPr="002D1440">
        <w:rPr>
          <w:rFonts w:ascii="Calibri" w:hAnsi="Calibri" w:cs="Calibri"/>
          <w:color w:val="000000"/>
          <w:sz w:val="24"/>
          <w:szCs w:val="24"/>
        </w:rPr>
        <w:t>Caminha</w:t>
      </w:r>
      <w:proofErr w:type="spellEnd"/>
    </w:p>
    <w:p w14:paraId="7AEC6823" w14:textId="77777777" w:rsidR="002D1440" w:rsidRPr="002D1440" w:rsidRDefault="002D1440" w:rsidP="002D1440">
      <w:pPr>
        <w:spacing w:line="259" w:lineRule="auto"/>
        <w:rPr>
          <w:rFonts w:ascii="Calibri" w:hAnsi="Calibri" w:cs="Calibri"/>
          <w:color w:val="000000"/>
          <w:sz w:val="24"/>
          <w:szCs w:val="24"/>
        </w:rPr>
      </w:pPr>
      <w:r w:rsidRPr="002D1440">
        <w:rPr>
          <w:rFonts w:ascii="Calibri" w:hAnsi="Calibri" w:cs="Calibri"/>
          <w:color w:val="000000"/>
          <w:sz w:val="24"/>
          <w:szCs w:val="24"/>
        </w:rPr>
        <w:t>Head of Regional Communications</w:t>
      </w:r>
    </w:p>
    <w:p w14:paraId="5A640FD5" w14:textId="4E33F5F3" w:rsidR="002D1440" w:rsidRDefault="002D1440" w:rsidP="002D1440">
      <w:pPr>
        <w:spacing w:line="259" w:lineRule="auto"/>
        <w:rPr>
          <w:rFonts w:ascii="Calibri" w:hAnsi="Calibri" w:cs="Calibri"/>
          <w:color w:val="000000"/>
          <w:sz w:val="24"/>
          <w:szCs w:val="24"/>
        </w:rPr>
      </w:pPr>
      <w:r w:rsidRPr="002D1440">
        <w:rPr>
          <w:rFonts w:ascii="Calibri" w:hAnsi="Calibri" w:cs="Calibri"/>
          <w:color w:val="000000"/>
          <w:sz w:val="24"/>
          <w:szCs w:val="24"/>
        </w:rPr>
        <w:t>+55 (61) 98135 1800 (We Chat)</w:t>
      </w:r>
    </w:p>
    <w:p w14:paraId="3A6F3994" w14:textId="1A60385E" w:rsidR="004C263E" w:rsidRPr="002D1440" w:rsidRDefault="001B2696" w:rsidP="002D1440">
      <w:pPr>
        <w:spacing w:line="259" w:lineRule="auto"/>
        <w:rPr>
          <w:rFonts w:ascii="Calibri" w:hAnsi="Calibri" w:cs="Calibri"/>
          <w:color w:val="000000"/>
          <w:sz w:val="24"/>
          <w:szCs w:val="24"/>
        </w:rPr>
      </w:pPr>
      <w:hyperlink r:id="rId15" w:history="1">
        <w:r w:rsidR="004C263E" w:rsidRPr="004C263E">
          <w:rPr>
            <w:rStyle w:val="Hyperlink"/>
            <w:rFonts w:ascii="Calibri" w:hAnsi="Calibri" w:cs="Calibri"/>
            <w:sz w:val="24"/>
            <w:szCs w:val="24"/>
          </w:rPr>
          <w:t>Mariana.caminha@climatebonds.net</w:t>
        </w:r>
      </w:hyperlink>
    </w:p>
    <w:p w14:paraId="45F9EAD2" w14:textId="785F345A" w:rsidR="004C263E" w:rsidRPr="004C263E" w:rsidRDefault="004C263E" w:rsidP="004C263E">
      <w:pPr>
        <w:spacing w:line="259" w:lineRule="auto"/>
        <w:rPr>
          <w:rFonts w:ascii="Calibri" w:hAnsi="Calibri" w:cs="Calibri"/>
          <w:sz w:val="24"/>
          <w:szCs w:val="24"/>
        </w:rPr>
      </w:pPr>
      <w:r w:rsidRPr="004C263E">
        <w:rPr>
          <w:rFonts w:ascii="Calibri" w:hAnsi="Calibri" w:cs="Calibri"/>
          <w:color w:val="000000"/>
          <w:sz w:val="24"/>
          <w:szCs w:val="24"/>
        </w:rPr>
        <w:br/>
      </w:r>
      <w:r w:rsidRPr="004C263E">
        <w:rPr>
          <w:rFonts w:ascii="Calibri" w:hAnsi="Calibri" w:cs="Calibri"/>
          <w:color w:val="000000"/>
          <w:sz w:val="24"/>
          <w:szCs w:val="24"/>
        </w:rPr>
        <w:t>Kay Withers</w:t>
      </w:r>
    </w:p>
    <w:p w14:paraId="1FB24D50" w14:textId="77777777" w:rsidR="004C263E" w:rsidRPr="004C263E" w:rsidRDefault="004C263E" w:rsidP="004C263E">
      <w:pPr>
        <w:spacing w:line="259" w:lineRule="auto"/>
        <w:rPr>
          <w:rFonts w:ascii="Calibri" w:hAnsi="Calibri" w:cs="Calibri"/>
          <w:color w:val="000000"/>
          <w:sz w:val="24"/>
          <w:szCs w:val="24"/>
        </w:rPr>
      </w:pPr>
      <w:r w:rsidRPr="004C263E">
        <w:rPr>
          <w:rFonts w:ascii="Calibri" w:hAnsi="Calibri" w:cs="Calibri"/>
          <w:color w:val="000000"/>
          <w:sz w:val="24"/>
          <w:szCs w:val="24"/>
        </w:rPr>
        <w:t>Media Relations, Natixis CIB Asia Pacific</w:t>
      </w:r>
    </w:p>
    <w:p w14:paraId="164CCA6F" w14:textId="77777777" w:rsidR="004C263E" w:rsidRPr="004C263E" w:rsidRDefault="004C263E" w:rsidP="004C263E">
      <w:pPr>
        <w:spacing w:line="259" w:lineRule="auto"/>
        <w:rPr>
          <w:rFonts w:ascii="Calibri" w:hAnsi="Calibri" w:cs="Calibri"/>
          <w:color w:val="000000"/>
          <w:sz w:val="24"/>
          <w:szCs w:val="24"/>
        </w:rPr>
      </w:pPr>
      <w:r w:rsidRPr="004C263E">
        <w:rPr>
          <w:rFonts w:ascii="Calibri" w:hAnsi="Calibri" w:cs="Calibri"/>
          <w:color w:val="000000"/>
          <w:sz w:val="24"/>
          <w:szCs w:val="24"/>
        </w:rPr>
        <w:t>+852 6508 7155</w:t>
      </w:r>
    </w:p>
    <w:p w14:paraId="1AFECC08" w14:textId="77777777" w:rsidR="004C263E" w:rsidRPr="004C263E" w:rsidRDefault="001B2696" w:rsidP="004C263E">
      <w:pPr>
        <w:spacing w:line="259" w:lineRule="auto"/>
        <w:rPr>
          <w:rFonts w:ascii="Calibri" w:hAnsi="Calibri" w:cs="Calibri"/>
          <w:color w:val="000000"/>
          <w:sz w:val="24"/>
          <w:szCs w:val="24"/>
        </w:rPr>
      </w:pPr>
      <w:hyperlink r:id="rId16" w:tgtFrame="_blank" w:history="1">
        <w:r w:rsidR="004C263E" w:rsidRPr="004C263E">
          <w:rPr>
            <w:rStyle w:val="Hyperlink"/>
            <w:rFonts w:ascii="Calibri" w:hAnsi="Calibri" w:cs="Calibri"/>
            <w:sz w:val="24"/>
            <w:szCs w:val="24"/>
          </w:rPr>
          <w:t>kay.withers@natixis.com</w:t>
        </w:r>
      </w:hyperlink>
    </w:p>
    <w:p w14:paraId="76180BE4" w14:textId="77777777" w:rsidR="00AD19F2" w:rsidRDefault="00AD19F2" w:rsidP="002D1440">
      <w:pPr>
        <w:spacing w:line="259" w:lineRule="auto"/>
        <w:rPr>
          <w:rFonts w:ascii="Calibri" w:hAnsi="Calibri" w:cs="Calibri"/>
          <w:color w:val="000000"/>
          <w:sz w:val="24"/>
          <w:szCs w:val="24"/>
        </w:rPr>
        <w:sectPr w:rsidR="00AD19F2" w:rsidSect="00AD19F2">
          <w:type w:val="continuous"/>
          <w:pgSz w:w="11906" w:h="16838"/>
          <w:pgMar w:top="1440" w:right="1800" w:bottom="1440" w:left="1800" w:header="851" w:footer="992" w:gutter="0"/>
          <w:cols w:num="2" w:space="425"/>
          <w:docGrid w:type="lines" w:linePitch="312"/>
        </w:sectPr>
      </w:pPr>
    </w:p>
    <w:p w14:paraId="0D9216E5" w14:textId="138D325A" w:rsidR="004C263E" w:rsidRDefault="004C263E" w:rsidP="002D1440">
      <w:pPr>
        <w:spacing w:line="259" w:lineRule="auto"/>
        <w:rPr>
          <w:rFonts w:ascii="Calibri" w:hAnsi="Calibri" w:cs="Calibri"/>
          <w:color w:val="000000"/>
          <w:sz w:val="24"/>
          <w:szCs w:val="24"/>
        </w:rPr>
      </w:pPr>
    </w:p>
    <w:p w14:paraId="2AD15860" w14:textId="3C381EC3" w:rsidR="00AD19F2" w:rsidRDefault="00AD19F2" w:rsidP="002D1440">
      <w:pPr>
        <w:spacing w:line="259" w:lineRule="auto"/>
        <w:rPr>
          <w:rFonts w:ascii="Calibri" w:hAnsi="Calibri" w:cs="Calibri"/>
          <w:color w:val="000000"/>
          <w:sz w:val="24"/>
          <w:szCs w:val="24"/>
        </w:rPr>
      </w:pPr>
    </w:p>
    <w:p w14:paraId="5000E80B" w14:textId="77777777" w:rsidR="00AD19F2" w:rsidRPr="002D1440" w:rsidRDefault="00AD19F2" w:rsidP="002D1440">
      <w:pPr>
        <w:spacing w:line="259" w:lineRule="auto"/>
        <w:rPr>
          <w:rFonts w:ascii="Calibri" w:hAnsi="Calibri" w:cs="Calibri"/>
          <w:color w:val="000000"/>
          <w:sz w:val="24"/>
          <w:szCs w:val="24"/>
        </w:rPr>
      </w:pPr>
    </w:p>
    <w:p w14:paraId="2A8F731E" w14:textId="6CE29B88" w:rsidR="002D1440" w:rsidRPr="004D6304" w:rsidRDefault="002D1440" w:rsidP="002D1440">
      <w:pPr>
        <w:spacing w:line="259" w:lineRule="auto"/>
        <w:rPr>
          <w:rFonts w:ascii="Calibri" w:hAnsi="Calibri" w:cs="Calibri"/>
          <w:color w:val="000000"/>
          <w:sz w:val="24"/>
          <w:szCs w:val="24"/>
        </w:rPr>
      </w:pPr>
      <w:r w:rsidRPr="008C7659">
        <w:rPr>
          <w:rFonts w:ascii="Calibri" w:hAnsi="Calibri" w:cs="Calibri"/>
          <w:b/>
          <w:bCs/>
          <w:color w:val="000000"/>
          <w:sz w:val="24"/>
          <w:szCs w:val="24"/>
        </w:rPr>
        <w:t>Notes for journalists</w:t>
      </w:r>
    </w:p>
    <w:p w14:paraId="4C758FCA" w14:textId="77777777" w:rsidR="008C7659" w:rsidRPr="002D1440" w:rsidRDefault="008C7659" w:rsidP="002D1440">
      <w:pPr>
        <w:spacing w:line="259" w:lineRule="auto"/>
        <w:rPr>
          <w:rFonts w:ascii="Calibri" w:hAnsi="Calibri" w:cs="Calibri"/>
          <w:color w:val="000000"/>
          <w:sz w:val="24"/>
          <w:szCs w:val="24"/>
        </w:rPr>
      </w:pPr>
    </w:p>
    <w:p w14:paraId="72CA9201" w14:textId="77686876" w:rsidR="002D1440" w:rsidRDefault="002D1440" w:rsidP="004D6304">
      <w:pPr>
        <w:rPr>
          <w:rFonts w:ascii="Calibri" w:hAnsi="Calibri" w:cs="Calibri"/>
          <w:color w:val="000000"/>
          <w:sz w:val="24"/>
          <w:szCs w:val="24"/>
        </w:rPr>
      </w:pPr>
      <w:r w:rsidRPr="008C7659">
        <w:rPr>
          <w:rFonts w:ascii="Calibri" w:hAnsi="Calibri" w:cs="Calibri"/>
          <w:b/>
          <w:bCs/>
          <w:color w:val="000000"/>
          <w:sz w:val="24"/>
          <w:szCs w:val="24"/>
        </w:rPr>
        <w:t xml:space="preserve">About </w:t>
      </w:r>
      <w:r w:rsidR="00C411F4">
        <w:rPr>
          <w:rFonts w:ascii="Calibri" w:hAnsi="Calibri" w:cs="Calibri"/>
          <w:b/>
          <w:bCs/>
          <w:color w:val="000000"/>
          <w:sz w:val="24"/>
          <w:szCs w:val="24"/>
        </w:rPr>
        <w:t>Climate Bonds</w:t>
      </w:r>
      <w:r w:rsidRPr="008C7659">
        <w:rPr>
          <w:rFonts w:ascii="Calibri" w:hAnsi="Calibri" w:cs="Calibri"/>
          <w:b/>
          <w:bCs/>
          <w:color w:val="000000"/>
          <w:sz w:val="24"/>
          <w:szCs w:val="24"/>
        </w:rPr>
        <w:t>:</w:t>
      </w:r>
      <w:r w:rsidR="00C411F4">
        <w:rPr>
          <w:rFonts w:ascii="Calibri" w:hAnsi="Calibri" w:cs="Calibri"/>
          <w:b/>
          <w:bCs/>
          <w:color w:val="000000"/>
          <w:sz w:val="24"/>
          <w:szCs w:val="24"/>
        </w:rPr>
        <w:t xml:space="preserve"> </w:t>
      </w:r>
      <w:r w:rsidRPr="002D1440">
        <w:rPr>
          <w:rFonts w:ascii="Calibri" w:hAnsi="Calibri" w:cs="Calibri"/>
          <w:color w:val="000000"/>
          <w:sz w:val="24"/>
          <w:szCs w:val="24"/>
        </w:rPr>
        <w:t>Climate Bonds</w:t>
      </w:r>
      <w:r w:rsidR="00C411F4">
        <w:rPr>
          <w:lang w:val="en-AU"/>
        </w:rPr>
        <w:t xml:space="preserve"> </w:t>
      </w:r>
      <w:r w:rsidR="00C411F4" w:rsidRPr="004D6304">
        <w:rPr>
          <w:rFonts w:ascii="Calibri" w:hAnsi="Calibri" w:cs="Calibri"/>
          <w:color w:val="000000"/>
          <w:sz w:val="24"/>
          <w:szCs w:val="24"/>
        </w:rPr>
        <w:t xml:space="preserve">is an international </w:t>
      </w:r>
      <w:proofErr w:type="spellStart"/>
      <w:r w:rsidR="00C411F4" w:rsidRPr="004D6304">
        <w:rPr>
          <w:rFonts w:ascii="Calibri" w:hAnsi="Calibri" w:cs="Calibri"/>
          <w:color w:val="000000"/>
          <w:sz w:val="24"/>
          <w:szCs w:val="24"/>
        </w:rPr>
        <w:t>organisation</w:t>
      </w:r>
      <w:proofErr w:type="spellEnd"/>
      <w:r w:rsidR="00C411F4" w:rsidRPr="004D6304">
        <w:rPr>
          <w:rFonts w:ascii="Calibri" w:hAnsi="Calibri" w:cs="Calibri"/>
          <w:color w:val="000000"/>
          <w:sz w:val="24"/>
          <w:szCs w:val="24"/>
        </w:rPr>
        <w:t xml:space="preserve"> working to </w:t>
      </w:r>
      <w:proofErr w:type="spellStart"/>
      <w:r w:rsidR="00C411F4" w:rsidRPr="004D6304">
        <w:rPr>
          <w:rFonts w:ascii="Calibri" w:hAnsi="Calibri" w:cs="Calibri"/>
          <w:color w:val="000000"/>
          <w:sz w:val="24"/>
          <w:szCs w:val="24"/>
        </w:rPr>
        <w:t>mobilise</w:t>
      </w:r>
      <w:proofErr w:type="spellEnd"/>
      <w:r w:rsidR="00C411F4" w:rsidRPr="004D6304">
        <w:rPr>
          <w:rFonts w:ascii="Calibri" w:hAnsi="Calibri" w:cs="Calibri"/>
          <w:color w:val="000000"/>
          <w:sz w:val="24"/>
          <w:szCs w:val="24"/>
        </w:rPr>
        <w:t xml:space="preserve"> global capital for climate action.</w:t>
      </w:r>
      <w:r w:rsidR="00C411F4">
        <w:rPr>
          <w:rFonts w:ascii="Calibri" w:hAnsi="Calibri" w:cs="Calibri"/>
          <w:color w:val="000000"/>
          <w:sz w:val="24"/>
          <w:szCs w:val="24"/>
        </w:rPr>
        <w:t xml:space="preserve"> </w:t>
      </w:r>
      <w:r w:rsidRPr="002D1440">
        <w:rPr>
          <w:rFonts w:ascii="Calibri" w:hAnsi="Calibri" w:cs="Calibri"/>
          <w:color w:val="000000"/>
          <w:sz w:val="24"/>
          <w:szCs w:val="24"/>
        </w:rPr>
        <w:t>Climate</w:t>
      </w:r>
      <w:r w:rsidR="008C7659">
        <w:rPr>
          <w:rFonts w:ascii="Calibri" w:hAnsi="Calibri" w:cs="Calibri" w:hint="eastAsia"/>
          <w:color w:val="000000"/>
          <w:sz w:val="24"/>
          <w:szCs w:val="24"/>
        </w:rPr>
        <w:t xml:space="preserve"> </w:t>
      </w:r>
      <w:r w:rsidRPr="002D1440">
        <w:rPr>
          <w:rFonts w:ascii="Calibri" w:hAnsi="Calibri" w:cs="Calibri"/>
          <w:color w:val="000000"/>
          <w:sz w:val="24"/>
          <w:szCs w:val="24"/>
        </w:rPr>
        <w:t>Bonds undertakes advocacy and outreach to inform and stimulate the market,</w:t>
      </w:r>
      <w:r w:rsidR="008C7659">
        <w:rPr>
          <w:rFonts w:ascii="Calibri" w:hAnsi="Calibri" w:cs="Calibri" w:hint="eastAsia"/>
          <w:color w:val="000000"/>
          <w:sz w:val="24"/>
          <w:szCs w:val="24"/>
        </w:rPr>
        <w:t xml:space="preserve"> </w:t>
      </w:r>
      <w:r w:rsidRPr="002D1440">
        <w:rPr>
          <w:rFonts w:ascii="Calibri" w:hAnsi="Calibri" w:cs="Calibri"/>
          <w:color w:val="000000"/>
          <w:sz w:val="24"/>
          <w:szCs w:val="24"/>
        </w:rPr>
        <w:t>provides policy models and government advice, market data and analysis, and</w:t>
      </w:r>
      <w:r w:rsidR="008C7659">
        <w:rPr>
          <w:rFonts w:ascii="Calibri" w:hAnsi="Calibri" w:cs="Calibri" w:hint="eastAsia"/>
          <w:color w:val="000000"/>
          <w:sz w:val="24"/>
          <w:szCs w:val="24"/>
        </w:rPr>
        <w:t xml:space="preserve"> </w:t>
      </w:r>
      <w:r w:rsidRPr="002D1440">
        <w:rPr>
          <w:rFonts w:ascii="Calibri" w:hAnsi="Calibri" w:cs="Calibri"/>
          <w:color w:val="000000"/>
          <w:sz w:val="24"/>
          <w:szCs w:val="24"/>
        </w:rPr>
        <w:t>administers an international Standard &amp; Certification Scheme for best practice in green</w:t>
      </w:r>
      <w:r w:rsidR="008C7659">
        <w:rPr>
          <w:rFonts w:ascii="Calibri" w:hAnsi="Calibri" w:cs="Calibri" w:hint="eastAsia"/>
          <w:color w:val="000000"/>
          <w:sz w:val="24"/>
          <w:szCs w:val="24"/>
        </w:rPr>
        <w:t xml:space="preserve"> </w:t>
      </w:r>
      <w:r w:rsidRPr="002D1440">
        <w:rPr>
          <w:rFonts w:ascii="Calibri" w:hAnsi="Calibri" w:cs="Calibri"/>
          <w:color w:val="000000"/>
          <w:sz w:val="24"/>
          <w:szCs w:val="24"/>
        </w:rPr>
        <w:t xml:space="preserve">bonds issuance. For more information, please visit </w:t>
      </w:r>
      <w:hyperlink r:id="rId17" w:history="1">
        <w:r w:rsidR="002B0A48" w:rsidRPr="002B0A48">
          <w:rPr>
            <w:rStyle w:val="Hyperlink"/>
            <w:rFonts w:ascii="Calibri" w:hAnsi="Calibri" w:cs="Calibri"/>
            <w:sz w:val="24"/>
            <w:szCs w:val="24"/>
          </w:rPr>
          <w:t>https://www.climatebonds.net/</w:t>
        </w:r>
      </w:hyperlink>
      <w:r w:rsidRPr="002D1440">
        <w:rPr>
          <w:rFonts w:ascii="Calibri" w:hAnsi="Calibri" w:cs="Calibri"/>
          <w:color w:val="000000"/>
          <w:sz w:val="24"/>
          <w:szCs w:val="24"/>
        </w:rPr>
        <w:t>.</w:t>
      </w:r>
    </w:p>
    <w:p w14:paraId="7B7C7C29" w14:textId="71B4367D" w:rsidR="004C263E" w:rsidRDefault="004C263E" w:rsidP="004D6304">
      <w:pPr>
        <w:rPr>
          <w:rFonts w:ascii="Calibri" w:hAnsi="Calibri" w:cs="Calibri"/>
          <w:color w:val="000000"/>
          <w:sz w:val="24"/>
          <w:szCs w:val="24"/>
        </w:rPr>
      </w:pPr>
    </w:p>
    <w:p w14:paraId="472CCA5A" w14:textId="3919BE3E" w:rsidR="004C263E" w:rsidRPr="004C263E" w:rsidRDefault="004C263E" w:rsidP="004C263E">
      <w:pPr>
        <w:rPr>
          <w:rFonts w:ascii="Calibri" w:hAnsi="Calibri" w:cs="Calibri"/>
          <w:sz w:val="24"/>
          <w:szCs w:val="24"/>
        </w:rPr>
      </w:pPr>
      <w:r w:rsidRPr="004C263E">
        <w:rPr>
          <w:rFonts w:ascii="Calibri" w:hAnsi="Calibri" w:cs="Calibri"/>
          <w:b/>
          <w:bCs/>
          <w:sz w:val="24"/>
          <w:szCs w:val="24"/>
        </w:rPr>
        <w:t>About Natixis Corporate &amp; Investment Banking</w:t>
      </w:r>
      <w:r w:rsidRPr="004C263E">
        <w:rPr>
          <w:rFonts w:ascii="Calibri" w:hAnsi="Calibri" w:cs="Calibri"/>
          <w:sz w:val="24"/>
          <w:szCs w:val="24"/>
        </w:rPr>
        <w:t>: Natixis Corporate &amp; Investment Banking is a leading global financial institution that provides advisory, investment banking, financing, corporate banking and capital markets services to corporations, financial institutions, financial sponsors and sovereign and supranational organizations worldwide. Our teams of experts in over 30 countries advise clients on their strategic development, helping them to grow and transform their businesses, and maximize their positive impact. We are committed to supporting the environmental transition by aligning our financing balance sheet with a +1.5°C trajectory by 2050. As part of the Global Financial Services division of Groupe BPCE, the second largest banking group in France through the Banque Populaire and Caisse d’Epargne retail networks, Natixis CIB benefits from the Group’s financial strength and solid financial ratings (Standard &amp; Poor's: A, Moody's: A1, Fitch: A+, R&amp;I: A+).</w:t>
      </w:r>
    </w:p>
    <w:p w14:paraId="1F9D5B3C" w14:textId="77777777" w:rsidR="00AE6CDF" w:rsidRDefault="00AE6CDF" w:rsidP="002D1440">
      <w:pPr>
        <w:spacing w:line="259" w:lineRule="auto"/>
        <w:rPr>
          <w:rFonts w:ascii="Calibri" w:hAnsi="Calibri" w:cs="Calibri"/>
          <w:color w:val="000000"/>
          <w:sz w:val="24"/>
          <w:szCs w:val="24"/>
        </w:rPr>
      </w:pPr>
    </w:p>
    <w:p w14:paraId="60501597" w14:textId="24C7CA01" w:rsidR="002D1440" w:rsidRPr="002D1440" w:rsidRDefault="002D1440" w:rsidP="002D1440">
      <w:pPr>
        <w:spacing w:line="259" w:lineRule="auto"/>
        <w:rPr>
          <w:rFonts w:ascii="Calibri" w:hAnsi="Calibri" w:cs="Calibri"/>
          <w:color w:val="000000"/>
          <w:sz w:val="24"/>
          <w:szCs w:val="24"/>
        </w:rPr>
      </w:pPr>
      <w:r w:rsidRPr="002D1440">
        <w:rPr>
          <w:rFonts w:ascii="Calibri" w:hAnsi="Calibri" w:cs="Calibri"/>
          <w:color w:val="000000"/>
          <w:sz w:val="24"/>
          <w:szCs w:val="24"/>
        </w:rPr>
        <w:t>-----------------------------------------------------------------------------------------------------------------</w:t>
      </w:r>
    </w:p>
    <w:p w14:paraId="16CF9623" w14:textId="39A0C4AB" w:rsidR="002D1440" w:rsidRPr="008C7659" w:rsidRDefault="002D1440" w:rsidP="002D1440">
      <w:pPr>
        <w:spacing w:line="259" w:lineRule="auto"/>
        <w:rPr>
          <w:rFonts w:ascii="Calibri" w:hAnsi="Calibri" w:cs="Calibri"/>
          <w:color w:val="000000"/>
          <w:sz w:val="22"/>
        </w:rPr>
      </w:pPr>
      <w:r w:rsidRPr="008C7659">
        <w:rPr>
          <w:rFonts w:ascii="Calibri" w:hAnsi="Calibri" w:cs="Calibri"/>
          <w:b/>
          <w:bCs/>
          <w:color w:val="000000"/>
          <w:sz w:val="22"/>
        </w:rPr>
        <w:t xml:space="preserve">Disclaimer: </w:t>
      </w:r>
      <w:r w:rsidRPr="008C7659">
        <w:rPr>
          <w:rFonts w:ascii="Calibri" w:hAnsi="Calibri" w:cs="Calibri"/>
          <w:color w:val="000000"/>
          <w:sz w:val="22"/>
        </w:rPr>
        <w:t>The information contained in this communication does not constitute</w:t>
      </w:r>
      <w:r w:rsidR="008C7659" w:rsidRPr="008C7659">
        <w:rPr>
          <w:rFonts w:ascii="Calibri" w:hAnsi="Calibri" w:cs="Calibri" w:hint="eastAsia"/>
          <w:color w:val="000000"/>
          <w:sz w:val="22"/>
        </w:rPr>
        <w:t xml:space="preserve"> </w:t>
      </w:r>
      <w:r w:rsidRPr="008C7659">
        <w:rPr>
          <w:rFonts w:ascii="Calibri" w:hAnsi="Calibri" w:cs="Calibri"/>
          <w:color w:val="000000"/>
          <w:sz w:val="22"/>
        </w:rPr>
        <w:t>investment advice in any form and the Climate Bonds Initiative is not an investment</w:t>
      </w:r>
      <w:r w:rsidR="008C7659" w:rsidRPr="008C7659">
        <w:rPr>
          <w:rFonts w:ascii="Calibri" w:hAnsi="Calibri" w:cs="Calibri" w:hint="eastAsia"/>
          <w:color w:val="000000"/>
          <w:sz w:val="22"/>
        </w:rPr>
        <w:t xml:space="preserve"> </w:t>
      </w:r>
      <w:r w:rsidRPr="008C7659">
        <w:rPr>
          <w:rFonts w:ascii="Calibri" w:hAnsi="Calibri" w:cs="Calibri"/>
          <w:color w:val="000000"/>
          <w:sz w:val="22"/>
        </w:rPr>
        <w:t xml:space="preserve">adviser. Any reference to a financial </w:t>
      </w:r>
      <w:proofErr w:type="spellStart"/>
      <w:r w:rsidRPr="008C7659">
        <w:rPr>
          <w:rFonts w:ascii="Calibri" w:hAnsi="Calibri" w:cs="Calibri"/>
          <w:color w:val="000000"/>
          <w:sz w:val="22"/>
        </w:rPr>
        <w:t>organisation</w:t>
      </w:r>
      <w:proofErr w:type="spellEnd"/>
      <w:r w:rsidRPr="008C7659">
        <w:rPr>
          <w:rFonts w:ascii="Calibri" w:hAnsi="Calibri" w:cs="Calibri"/>
          <w:color w:val="000000"/>
          <w:sz w:val="22"/>
        </w:rPr>
        <w:t xml:space="preserve"> or debt instrument or investment</w:t>
      </w:r>
      <w:r w:rsidR="008C7659" w:rsidRPr="008C7659">
        <w:rPr>
          <w:rFonts w:ascii="Calibri" w:hAnsi="Calibri" w:cs="Calibri" w:hint="eastAsia"/>
          <w:color w:val="000000"/>
          <w:sz w:val="22"/>
        </w:rPr>
        <w:t xml:space="preserve"> </w:t>
      </w:r>
      <w:r w:rsidRPr="008C7659">
        <w:rPr>
          <w:rFonts w:ascii="Calibri" w:hAnsi="Calibri" w:cs="Calibri"/>
          <w:color w:val="000000"/>
          <w:sz w:val="22"/>
        </w:rPr>
        <w:t>product is for information purposes only. Links to external websites are for information</w:t>
      </w:r>
      <w:r w:rsidR="008C7659" w:rsidRPr="008C7659">
        <w:rPr>
          <w:rFonts w:ascii="Calibri" w:hAnsi="Calibri" w:cs="Calibri" w:hint="eastAsia"/>
          <w:color w:val="000000"/>
          <w:sz w:val="22"/>
        </w:rPr>
        <w:t xml:space="preserve"> </w:t>
      </w:r>
      <w:r w:rsidRPr="008C7659">
        <w:rPr>
          <w:rFonts w:ascii="Calibri" w:hAnsi="Calibri" w:cs="Calibri"/>
          <w:color w:val="000000"/>
          <w:sz w:val="22"/>
        </w:rPr>
        <w:t>purposes only. The Climate Bonds Initiative accepts no responsibility for content on</w:t>
      </w:r>
      <w:r w:rsidR="008C7659" w:rsidRPr="008C7659">
        <w:rPr>
          <w:rFonts w:ascii="Calibri" w:hAnsi="Calibri" w:cs="Calibri" w:hint="eastAsia"/>
          <w:color w:val="000000"/>
          <w:sz w:val="22"/>
        </w:rPr>
        <w:t xml:space="preserve"> </w:t>
      </w:r>
      <w:r w:rsidRPr="008C7659">
        <w:rPr>
          <w:rFonts w:ascii="Calibri" w:hAnsi="Calibri" w:cs="Calibri"/>
          <w:color w:val="000000"/>
          <w:sz w:val="22"/>
        </w:rPr>
        <w:t xml:space="preserve">external websites. The Climate Bonds Initiative is not endorsing, </w:t>
      </w:r>
      <w:proofErr w:type="gramStart"/>
      <w:r w:rsidRPr="008C7659">
        <w:rPr>
          <w:rFonts w:ascii="Calibri" w:hAnsi="Calibri" w:cs="Calibri"/>
          <w:color w:val="000000"/>
          <w:sz w:val="22"/>
        </w:rPr>
        <w:t>recommending</w:t>
      </w:r>
      <w:proofErr w:type="gramEnd"/>
      <w:r w:rsidRPr="008C7659">
        <w:rPr>
          <w:rFonts w:ascii="Calibri" w:hAnsi="Calibri" w:cs="Calibri"/>
          <w:color w:val="000000"/>
          <w:sz w:val="22"/>
        </w:rPr>
        <w:t xml:space="preserve"> or</w:t>
      </w:r>
      <w:r w:rsidR="008C7659" w:rsidRPr="008C7659">
        <w:rPr>
          <w:rFonts w:ascii="Calibri" w:hAnsi="Calibri" w:cs="Calibri" w:hint="eastAsia"/>
          <w:color w:val="000000"/>
          <w:sz w:val="22"/>
        </w:rPr>
        <w:t xml:space="preserve"> </w:t>
      </w:r>
      <w:r w:rsidRPr="008C7659">
        <w:rPr>
          <w:rFonts w:ascii="Calibri" w:hAnsi="Calibri" w:cs="Calibri"/>
          <w:color w:val="000000"/>
          <w:sz w:val="22"/>
        </w:rPr>
        <w:t>advising on the financial merits or otherwise of any debt instrument or investment</w:t>
      </w:r>
      <w:r w:rsidR="008C7659" w:rsidRPr="008C7659">
        <w:rPr>
          <w:rFonts w:ascii="Calibri" w:hAnsi="Calibri" w:cs="Calibri" w:hint="eastAsia"/>
          <w:color w:val="000000"/>
          <w:sz w:val="22"/>
        </w:rPr>
        <w:t xml:space="preserve"> </w:t>
      </w:r>
      <w:r w:rsidRPr="008C7659">
        <w:rPr>
          <w:rFonts w:ascii="Calibri" w:hAnsi="Calibri" w:cs="Calibri"/>
          <w:color w:val="000000"/>
          <w:sz w:val="22"/>
        </w:rPr>
        <w:t>product and no information within this communication should be taken as such, nor</w:t>
      </w:r>
      <w:r w:rsidR="008C7659" w:rsidRPr="008C7659">
        <w:rPr>
          <w:rFonts w:ascii="Calibri" w:hAnsi="Calibri" w:cs="Calibri" w:hint="eastAsia"/>
          <w:color w:val="000000"/>
          <w:sz w:val="22"/>
        </w:rPr>
        <w:t xml:space="preserve"> </w:t>
      </w:r>
      <w:r w:rsidRPr="008C7659">
        <w:rPr>
          <w:rFonts w:ascii="Calibri" w:hAnsi="Calibri" w:cs="Calibri"/>
          <w:color w:val="000000"/>
          <w:sz w:val="22"/>
        </w:rPr>
        <w:t>should any information in this communication be relied upon in making any</w:t>
      </w:r>
      <w:r w:rsidR="008C7659" w:rsidRPr="008C7659">
        <w:rPr>
          <w:rFonts w:ascii="Calibri" w:hAnsi="Calibri" w:cs="Calibri" w:hint="eastAsia"/>
          <w:color w:val="000000"/>
          <w:sz w:val="22"/>
        </w:rPr>
        <w:t xml:space="preserve"> </w:t>
      </w:r>
      <w:r w:rsidRPr="008C7659">
        <w:rPr>
          <w:rFonts w:ascii="Calibri" w:hAnsi="Calibri" w:cs="Calibri"/>
          <w:color w:val="000000"/>
          <w:sz w:val="22"/>
        </w:rPr>
        <w:t>investment decision. Certification under the Climate Bond Standard only reflects the</w:t>
      </w:r>
      <w:r w:rsidR="008C7659" w:rsidRPr="008C7659">
        <w:rPr>
          <w:rFonts w:ascii="Calibri" w:hAnsi="Calibri" w:cs="Calibri" w:hint="eastAsia"/>
          <w:color w:val="000000"/>
          <w:sz w:val="22"/>
        </w:rPr>
        <w:t xml:space="preserve"> </w:t>
      </w:r>
      <w:r w:rsidRPr="008C7659">
        <w:rPr>
          <w:rFonts w:ascii="Calibri" w:hAnsi="Calibri" w:cs="Calibri"/>
          <w:color w:val="000000"/>
          <w:sz w:val="22"/>
        </w:rPr>
        <w:t>climate attributes of the use of proceeds of a designated debt instrument. It does not</w:t>
      </w:r>
      <w:r w:rsidR="008C7659" w:rsidRPr="008C7659">
        <w:rPr>
          <w:rFonts w:ascii="Calibri" w:hAnsi="Calibri" w:cs="Calibri" w:hint="eastAsia"/>
          <w:color w:val="000000"/>
          <w:sz w:val="22"/>
        </w:rPr>
        <w:t xml:space="preserve"> </w:t>
      </w:r>
      <w:r w:rsidRPr="008C7659">
        <w:rPr>
          <w:rFonts w:ascii="Calibri" w:hAnsi="Calibri" w:cs="Calibri"/>
          <w:color w:val="000000"/>
          <w:sz w:val="22"/>
        </w:rPr>
        <w:t>reflect the credit worthiness of the designated debt instrument, nor its compliance</w:t>
      </w:r>
      <w:r w:rsidR="008C7659" w:rsidRPr="008C7659">
        <w:rPr>
          <w:rFonts w:ascii="Calibri" w:hAnsi="Calibri" w:cs="Calibri" w:hint="eastAsia"/>
          <w:color w:val="000000"/>
          <w:sz w:val="22"/>
        </w:rPr>
        <w:t xml:space="preserve"> </w:t>
      </w:r>
      <w:r w:rsidRPr="008C7659">
        <w:rPr>
          <w:rFonts w:ascii="Calibri" w:hAnsi="Calibri" w:cs="Calibri"/>
          <w:color w:val="000000"/>
          <w:sz w:val="22"/>
        </w:rPr>
        <w:t>with national or international laws. A decision to invest in anything is solely yours. The</w:t>
      </w:r>
      <w:r w:rsidR="008C7659" w:rsidRPr="008C7659">
        <w:rPr>
          <w:rFonts w:ascii="Calibri" w:hAnsi="Calibri" w:cs="Calibri" w:hint="eastAsia"/>
          <w:color w:val="000000"/>
          <w:sz w:val="22"/>
        </w:rPr>
        <w:t xml:space="preserve"> </w:t>
      </w:r>
      <w:r w:rsidRPr="008C7659">
        <w:rPr>
          <w:rFonts w:ascii="Calibri" w:hAnsi="Calibri" w:cs="Calibri"/>
          <w:color w:val="000000"/>
          <w:sz w:val="22"/>
        </w:rPr>
        <w:t>Climate Bonds Initiative accepts no liability of any kind, for any investment an</w:t>
      </w:r>
      <w:r w:rsidR="008C7659" w:rsidRPr="008C7659">
        <w:rPr>
          <w:rFonts w:ascii="Calibri" w:hAnsi="Calibri" w:cs="Calibri" w:hint="eastAsia"/>
          <w:color w:val="000000"/>
          <w:sz w:val="22"/>
        </w:rPr>
        <w:t xml:space="preserve"> </w:t>
      </w:r>
      <w:r w:rsidRPr="008C7659">
        <w:rPr>
          <w:rFonts w:ascii="Calibri" w:hAnsi="Calibri" w:cs="Calibri"/>
          <w:color w:val="000000"/>
          <w:sz w:val="22"/>
        </w:rPr>
        <w:t xml:space="preserve">individual or </w:t>
      </w:r>
      <w:proofErr w:type="spellStart"/>
      <w:r w:rsidRPr="008C7659">
        <w:rPr>
          <w:rFonts w:ascii="Calibri" w:hAnsi="Calibri" w:cs="Calibri"/>
          <w:color w:val="000000"/>
          <w:sz w:val="22"/>
        </w:rPr>
        <w:t>organisation</w:t>
      </w:r>
      <w:proofErr w:type="spellEnd"/>
      <w:r w:rsidRPr="008C7659">
        <w:rPr>
          <w:rFonts w:ascii="Calibri" w:hAnsi="Calibri" w:cs="Calibri"/>
          <w:color w:val="000000"/>
          <w:sz w:val="22"/>
        </w:rPr>
        <w:t xml:space="preserve"> makes, nor for any investment made by third parties on</w:t>
      </w:r>
      <w:r w:rsidR="008C7659" w:rsidRPr="008C7659">
        <w:rPr>
          <w:rFonts w:ascii="Calibri" w:hAnsi="Calibri" w:cs="Calibri" w:hint="eastAsia"/>
          <w:color w:val="000000"/>
          <w:sz w:val="22"/>
        </w:rPr>
        <w:t xml:space="preserve"> </w:t>
      </w:r>
      <w:r w:rsidRPr="008C7659">
        <w:rPr>
          <w:rFonts w:ascii="Calibri" w:hAnsi="Calibri" w:cs="Calibri"/>
          <w:color w:val="000000"/>
          <w:sz w:val="22"/>
        </w:rPr>
        <w:t xml:space="preserve">behalf of an individual or </w:t>
      </w:r>
      <w:proofErr w:type="spellStart"/>
      <w:r w:rsidRPr="008C7659">
        <w:rPr>
          <w:rFonts w:ascii="Calibri" w:hAnsi="Calibri" w:cs="Calibri"/>
          <w:color w:val="000000"/>
          <w:sz w:val="22"/>
        </w:rPr>
        <w:t>organisation</w:t>
      </w:r>
      <w:proofErr w:type="spellEnd"/>
      <w:r w:rsidRPr="008C7659">
        <w:rPr>
          <w:rFonts w:ascii="Calibri" w:hAnsi="Calibri" w:cs="Calibri"/>
          <w:color w:val="000000"/>
          <w:sz w:val="22"/>
        </w:rPr>
        <w:t>, based in whole or in part on any information</w:t>
      </w:r>
      <w:r w:rsidR="008C7659" w:rsidRPr="008C7659">
        <w:rPr>
          <w:rFonts w:ascii="Calibri" w:hAnsi="Calibri" w:cs="Calibri" w:hint="eastAsia"/>
          <w:color w:val="000000"/>
          <w:sz w:val="22"/>
        </w:rPr>
        <w:t xml:space="preserve"> </w:t>
      </w:r>
      <w:r w:rsidRPr="008C7659">
        <w:rPr>
          <w:rFonts w:ascii="Calibri" w:hAnsi="Calibri" w:cs="Calibri"/>
          <w:color w:val="000000"/>
          <w:sz w:val="22"/>
        </w:rPr>
        <w:t>contained within this, or any other Climate Bonds Initiative public communication.</w:t>
      </w:r>
    </w:p>
    <w:sectPr w:rsidR="002D1440" w:rsidRPr="008C7659" w:rsidSect="00AD19F2">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314F7" w14:textId="77777777" w:rsidR="001B2696" w:rsidRDefault="001B2696" w:rsidP="003F319D">
      <w:r>
        <w:separator/>
      </w:r>
    </w:p>
  </w:endnote>
  <w:endnote w:type="continuationSeparator" w:id="0">
    <w:p w14:paraId="7D4E60E8" w14:textId="77777777" w:rsidR="001B2696" w:rsidRDefault="001B2696" w:rsidP="003F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60492" w14:textId="7ACC6505" w:rsidR="00343131" w:rsidRDefault="00343131">
    <w:pPr>
      <w:pStyle w:val="Footer"/>
    </w:pPr>
    <w:r>
      <w:rPr>
        <w:noProof/>
      </w:rPr>
      <mc:AlternateContent>
        <mc:Choice Requires="wps">
          <w:drawing>
            <wp:anchor distT="0" distB="0" distL="114300" distR="114300" simplePos="0" relativeHeight="251659264" behindDoc="0" locked="0" layoutInCell="0" allowOverlap="1" wp14:anchorId="0E4C5C91" wp14:editId="22E428F8">
              <wp:simplePos x="0" y="0"/>
              <wp:positionH relativeFrom="page">
                <wp:posOffset>0</wp:posOffset>
              </wp:positionH>
              <wp:positionV relativeFrom="page">
                <wp:posOffset>10234930</wp:posOffset>
              </wp:positionV>
              <wp:extent cx="7560310" cy="266700"/>
              <wp:effectExtent l="0" t="0" r="0" b="0"/>
              <wp:wrapNone/>
              <wp:docPr id="3" name="MSIPCMf4fb45dda4ea44c7286317d1" descr="{&quot;HashCode&quot;:164422857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688B74" w14:textId="7133133C" w:rsidR="00343131" w:rsidRPr="00343131" w:rsidRDefault="00343131" w:rsidP="00343131">
                          <w:pPr>
                            <w:jc w:val="left"/>
                            <w:rPr>
                              <w:rFonts w:ascii="Calibri" w:hAnsi="Calibri" w:cs="Calibri"/>
                              <w:color w:val="FFFFFF"/>
                              <w:sz w:val="2"/>
                            </w:rPr>
                          </w:pPr>
                          <w:r w:rsidRPr="00343131">
                            <w:rPr>
                              <w:rFonts w:ascii="Calibri" w:hAnsi="Calibri" w:cs="Calibri"/>
                              <w:color w:val="FFFFFF"/>
                              <w:sz w:val="2"/>
                            </w:rPr>
                            <w:t>C1 - Public Natixis</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E4C5C91" id="_x0000_t202" coordsize="21600,21600" o:spt="202" path="m,l,21600r21600,l21600,xe">
              <v:stroke joinstyle="miter"/>
              <v:path gradientshapeok="t" o:connecttype="rect"/>
            </v:shapetype>
            <v:shape id="MSIPCMf4fb45dda4ea44c7286317d1" o:spid="_x0000_s1026" type="#_x0000_t202" alt="{&quot;HashCode&quot;:1644228579,&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" o:allowincell="f" filled="f" stroked="f" strokeweight=".5pt">
              <v:textbox inset="20pt,0,,0">
                <w:txbxContent>
                  <w:p w14:paraId="1E688B74" w14:textId="7133133C" w:rsidR="00343131" w:rsidRPr="00343131" w:rsidRDefault="00343131" w:rsidP="00343131">
                    <w:pPr>
                      <w:jc w:val="left"/>
                      <w:rPr>
                        <w:rFonts w:ascii="Calibri" w:hAnsi="Calibri" w:cs="Calibri"/>
                        <w:color w:val="FFFFFF"/>
                        <w:sz w:val="2"/>
                      </w:rPr>
                    </w:pPr>
                    <w:r w:rsidRPr="00343131">
                      <w:rPr>
                        <w:rFonts w:ascii="Calibri" w:hAnsi="Calibri" w:cs="Calibri"/>
                        <w:color w:val="FFFFFF"/>
                        <w:sz w:val="2"/>
                      </w:rPr>
                      <w:t>C1 - Public Natixis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BDC53" w14:textId="77777777" w:rsidR="001B2696" w:rsidRDefault="001B2696" w:rsidP="003F319D">
      <w:r>
        <w:separator/>
      </w:r>
    </w:p>
  </w:footnote>
  <w:footnote w:type="continuationSeparator" w:id="0">
    <w:p w14:paraId="03E7AF09" w14:textId="77777777" w:rsidR="001B2696" w:rsidRDefault="001B2696" w:rsidP="003F3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11F0" w14:textId="75044CAC" w:rsidR="0089173F" w:rsidRDefault="00844CE1" w:rsidP="00844CE1">
    <w:pPr>
      <w:pStyle w:val="Header"/>
      <w:jc w:val="center"/>
    </w:pPr>
    <w:r>
      <w:rPr>
        <w:noProof/>
      </w:rPr>
      <w:drawing>
        <wp:inline distT="0" distB="0" distL="0" distR="0" wp14:anchorId="40FE5187" wp14:editId="50756908">
          <wp:extent cx="5274310" cy="61658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5274310" cy="616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221E4"/>
    <w:multiLevelType w:val="multilevel"/>
    <w:tmpl w:val="CB24A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D06214"/>
    <w:multiLevelType w:val="multilevel"/>
    <w:tmpl w:val="EFB0E7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8F3FE4"/>
    <w:multiLevelType w:val="hybridMultilevel"/>
    <w:tmpl w:val="22A2E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295B76"/>
    <w:multiLevelType w:val="multilevel"/>
    <w:tmpl w:val="2F427D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6382632"/>
    <w:multiLevelType w:val="multilevel"/>
    <w:tmpl w:val="21485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85F33AA"/>
    <w:multiLevelType w:val="multilevel"/>
    <w:tmpl w:val="91D8A7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29940818">
    <w:abstractNumId w:val="2"/>
  </w:num>
  <w:num w:numId="2" w16cid:durableId="1267615889">
    <w:abstractNumId w:val="0"/>
  </w:num>
  <w:num w:numId="3" w16cid:durableId="1647852305">
    <w:abstractNumId w:val="1"/>
  </w:num>
  <w:num w:numId="4" w16cid:durableId="1172599946">
    <w:abstractNumId w:val="5"/>
  </w:num>
  <w:num w:numId="5" w16cid:durableId="639458148">
    <w:abstractNumId w:val="4"/>
  </w:num>
  <w:num w:numId="6" w16cid:durableId="1082870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9D"/>
    <w:rsid w:val="00032904"/>
    <w:rsid w:val="00051A3A"/>
    <w:rsid w:val="0007427D"/>
    <w:rsid w:val="00083547"/>
    <w:rsid w:val="00083B26"/>
    <w:rsid w:val="0009177E"/>
    <w:rsid w:val="000953F2"/>
    <w:rsid w:val="000A6B19"/>
    <w:rsid w:val="000F491F"/>
    <w:rsid w:val="00102B60"/>
    <w:rsid w:val="0010451D"/>
    <w:rsid w:val="00106085"/>
    <w:rsid w:val="00126B6C"/>
    <w:rsid w:val="0015405F"/>
    <w:rsid w:val="00190661"/>
    <w:rsid w:val="001B2696"/>
    <w:rsid w:val="001B3410"/>
    <w:rsid w:val="00217E4C"/>
    <w:rsid w:val="00224079"/>
    <w:rsid w:val="002401BF"/>
    <w:rsid w:val="002428AB"/>
    <w:rsid w:val="00250055"/>
    <w:rsid w:val="002A5FAC"/>
    <w:rsid w:val="002B0A48"/>
    <w:rsid w:val="002D1440"/>
    <w:rsid w:val="002E7C2F"/>
    <w:rsid w:val="002F1B87"/>
    <w:rsid w:val="00311B54"/>
    <w:rsid w:val="00314ACD"/>
    <w:rsid w:val="0032276A"/>
    <w:rsid w:val="00331A46"/>
    <w:rsid w:val="00343131"/>
    <w:rsid w:val="00361F0C"/>
    <w:rsid w:val="0036726D"/>
    <w:rsid w:val="00370874"/>
    <w:rsid w:val="00370A1F"/>
    <w:rsid w:val="003D346C"/>
    <w:rsid w:val="003E3984"/>
    <w:rsid w:val="003F2C9E"/>
    <w:rsid w:val="003F319D"/>
    <w:rsid w:val="00452229"/>
    <w:rsid w:val="00472587"/>
    <w:rsid w:val="004C263E"/>
    <w:rsid w:val="004C7298"/>
    <w:rsid w:val="004C7CCA"/>
    <w:rsid w:val="004D6304"/>
    <w:rsid w:val="004E2406"/>
    <w:rsid w:val="004F6A11"/>
    <w:rsid w:val="00507815"/>
    <w:rsid w:val="00511F9E"/>
    <w:rsid w:val="00512BE7"/>
    <w:rsid w:val="00525EFD"/>
    <w:rsid w:val="00535A09"/>
    <w:rsid w:val="00542D73"/>
    <w:rsid w:val="00580006"/>
    <w:rsid w:val="005B4248"/>
    <w:rsid w:val="005B5A2C"/>
    <w:rsid w:val="005C3459"/>
    <w:rsid w:val="005D226C"/>
    <w:rsid w:val="005D4565"/>
    <w:rsid w:val="006161FD"/>
    <w:rsid w:val="0061683F"/>
    <w:rsid w:val="006351AD"/>
    <w:rsid w:val="006733C1"/>
    <w:rsid w:val="006905A4"/>
    <w:rsid w:val="006B64BA"/>
    <w:rsid w:val="006C5C96"/>
    <w:rsid w:val="006E1979"/>
    <w:rsid w:val="00722E80"/>
    <w:rsid w:val="007467D5"/>
    <w:rsid w:val="0075567F"/>
    <w:rsid w:val="00762227"/>
    <w:rsid w:val="0077755D"/>
    <w:rsid w:val="007A18CA"/>
    <w:rsid w:val="007B5D85"/>
    <w:rsid w:val="007C4512"/>
    <w:rsid w:val="007D2328"/>
    <w:rsid w:val="008041E3"/>
    <w:rsid w:val="00811871"/>
    <w:rsid w:val="00844CE1"/>
    <w:rsid w:val="0087484A"/>
    <w:rsid w:val="0089173F"/>
    <w:rsid w:val="0089737C"/>
    <w:rsid w:val="008C7659"/>
    <w:rsid w:val="008D6A9C"/>
    <w:rsid w:val="008F1FE9"/>
    <w:rsid w:val="00923A75"/>
    <w:rsid w:val="00975527"/>
    <w:rsid w:val="009764BC"/>
    <w:rsid w:val="009B1180"/>
    <w:rsid w:val="009C6BE2"/>
    <w:rsid w:val="009E52F5"/>
    <w:rsid w:val="00A07C24"/>
    <w:rsid w:val="00A217EA"/>
    <w:rsid w:val="00A432C4"/>
    <w:rsid w:val="00A451DF"/>
    <w:rsid w:val="00A70D94"/>
    <w:rsid w:val="00A710BF"/>
    <w:rsid w:val="00A736B5"/>
    <w:rsid w:val="00AB34A4"/>
    <w:rsid w:val="00AB5648"/>
    <w:rsid w:val="00AD19F2"/>
    <w:rsid w:val="00AE0B9A"/>
    <w:rsid w:val="00AE6CDF"/>
    <w:rsid w:val="00AF308E"/>
    <w:rsid w:val="00B064DC"/>
    <w:rsid w:val="00B11A6E"/>
    <w:rsid w:val="00B22544"/>
    <w:rsid w:val="00B26498"/>
    <w:rsid w:val="00B344D5"/>
    <w:rsid w:val="00B44DE9"/>
    <w:rsid w:val="00B609DA"/>
    <w:rsid w:val="00B758AA"/>
    <w:rsid w:val="00B92EAA"/>
    <w:rsid w:val="00BD6EB1"/>
    <w:rsid w:val="00BD790C"/>
    <w:rsid w:val="00BF58E9"/>
    <w:rsid w:val="00C411F4"/>
    <w:rsid w:val="00C42EDC"/>
    <w:rsid w:val="00C50104"/>
    <w:rsid w:val="00C956F7"/>
    <w:rsid w:val="00CA3B50"/>
    <w:rsid w:val="00CA72EF"/>
    <w:rsid w:val="00CC0933"/>
    <w:rsid w:val="00CC2E60"/>
    <w:rsid w:val="00CE73B5"/>
    <w:rsid w:val="00CF2940"/>
    <w:rsid w:val="00D07A90"/>
    <w:rsid w:val="00D30503"/>
    <w:rsid w:val="00D409BE"/>
    <w:rsid w:val="00D47E4D"/>
    <w:rsid w:val="00D628FA"/>
    <w:rsid w:val="00DC2703"/>
    <w:rsid w:val="00DD2E32"/>
    <w:rsid w:val="00DD4E54"/>
    <w:rsid w:val="00DE7964"/>
    <w:rsid w:val="00DF7CB2"/>
    <w:rsid w:val="00E11B9F"/>
    <w:rsid w:val="00E133D3"/>
    <w:rsid w:val="00E57BE8"/>
    <w:rsid w:val="00E8107D"/>
    <w:rsid w:val="00ED317B"/>
    <w:rsid w:val="00EF461D"/>
    <w:rsid w:val="00EF7606"/>
    <w:rsid w:val="00F27C22"/>
    <w:rsid w:val="00F40BC5"/>
    <w:rsid w:val="00F46410"/>
    <w:rsid w:val="00F47C9B"/>
    <w:rsid w:val="00F90B44"/>
    <w:rsid w:val="00F96B14"/>
    <w:rsid w:val="00FC6813"/>
    <w:rsid w:val="00FC6E08"/>
    <w:rsid w:val="00FD66A2"/>
    <w:rsid w:val="00FF0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B3223"/>
  <w15:docId w15:val="{CAB5645E-D58B-4809-920D-7AB71A03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A432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32C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432C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3F319D"/>
    <w:pPr>
      <w:widowControl/>
      <w:spacing w:before="120" w:after="120" w:line="240" w:lineRule="exact"/>
      <w:jc w:val="left"/>
    </w:pPr>
    <w:rPr>
      <w:rFonts w:asciiTheme="majorHAnsi" w:eastAsia="SimSun" w:hAnsiTheme="majorHAnsi"/>
      <w:kern w:val="0"/>
      <w:sz w:val="20"/>
      <w:szCs w:val="20"/>
      <w:lang w:val="en-GB" w:eastAsia="en-US"/>
    </w:rPr>
  </w:style>
  <w:style w:type="character" w:customStyle="1" w:styleId="CommentTextChar">
    <w:name w:val="Comment Text Char"/>
    <w:basedOn w:val="DefaultParagraphFont"/>
    <w:link w:val="CommentText"/>
    <w:uiPriority w:val="99"/>
    <w:rsid w:val="003F319D"/>
    <w:rPr>
      <w:rFonts w:asciiTheme="majorHAnsi" w:eastAsia="SimSun" w:hAnsiTheme="majorHAnsi"/>
      <w:kern w:val="0"/>
      <w:sz w:val="20"/>
      <w:szCs w:val="20"/>
      <w:lang w:val="en-GB" w:eastAsia="en-US"/>
    </w:rPr>
  </w:style>
  <w:style w:type="paragraph" w:styleId="EndnoteText">
    <w:name w:val="endnote text"/>
    <w:basedOn w:val="Normal"/>
    <w:link w:val="EndnoteTextChar"/>
    <w:uiPriority w:val="99"/>
    <w:semiHidden/>
    <w:unhideWhenUsed/>
    <w:rsid w:val="003F319D"/>
    <w:pPr>
      <w:widowControl/>
      <w:jc w:val="left"/>
    </w:pPr>
    <w:rPr>
      <w:rFonts w:asciiTheme="majorHAnsi" w:eastAsia="SimSun" w:hAnsiTheme="majorHAnsi"/>
      <w:kern w:val="0"/>
      <w:sz w:val="13"/>
      <w:szCs w:val="20"/>
      <w:lang w:val="en-GB" w:eastAsia="en-US"/>
    </w:rPr>
  </w:style>
  <w:style w:type="character" w:customStyle="1" w:styleId="EndnoteTextChar">
    <w:name w:val="Endnote Text Char"/>
    <w:basedOn w:val="DefaultParagraphFont"/>
    <w:link w:val="EndnoteText"/>
    <w:uiPriority w:val="99"/>
    <w:semiHidden/>
    <w:rsid w:val="003F319D"/>
    <w:rPr>
      <w:rFonts w:asciiTheme="majorHAnsi" w:eastAsia="SimSun" w:hAnsiTheme="majorHAnsi"/>
      <w:kern w:val="0"/>
      <w:sz w:val="13"/>
      <w:szCs w:val="20"/>
      <w:lang w:val="en-GB" w:eastAsia="en-US"/>
    </w:rPr>
  </w:style>
  <w:style w:type="character" w:styleId="EndnoteReference">
    <w:name w:val="endnote reference"/>
    <w:basedOn w:val="DefaultParagraphFont"/>
    <w:uiPriority w:val="99"/>
    <w:semiHidden/>
    <w:unhideWhenUsed/>
    <w:rsid w:val="003F319D"/>
    <w:rPr>
      <w:vertAlign w:val="superscript"/>
    </w:rPr>
  </w:style>
  <w:style w:type="character" w:styleId="CommentReference">
    <w:name w:val="annotation reference"/>
    <w:basedOn w:val="DefaultParagraphFont"/>
    <w:uiPriority w:val="99"/>
    <w:semiHidden/>
    <w:unhideWhenUsed/>
    <w:rsid w:val="003F319D"/>
    <w:rPr>
      <w:sz w:val="16"/>
      <w:szCs w:val="16"/>
    </w:rPr>
  </w:style>
  <w:style w:type="paragraph" w:styleId="ListParagraph">
    <w:name w:val="List Paragraph"/>
    <w:aliases w:val="PRI Bullets"/>
    <w:basedOn w:val="Normal"/>
    <w:uiPriority w:val="34"/>
    <w:qFormat/>
    <w:rsid w:val="00FD66A2"/>
    <w:pPr>
      <w:widowControl/>
      <w:spacing w:before="120" w:after="120" w:line="240" w:lineRule="exact"/>
      <w:contextualSpacing/>
      <w:jc w:val="left"/>
    </w:pPr>
    <w:rPr>
      <w:rFonts w:asciiTheme="majorHAnsi" w:eastAsia="SimSun" w:hAnsiTheme="majorHAnsi" w:cs="Times New Roman (Body CS)"/>
      <w:kern w:val="0"/>
      <w:sz w:val="20"/>
      <w:szCs w:val="24"/>
      <w:lang w:val="en-GB" w:eastAsia="en-US"/>
      <w14:ligatures w14:val="standard"/>
    </w:rPr>
  </w:style>
  <w:style w:type="paragraph" w:styleId="NormalWeb">
    <w:name w:val="Normal (Web)"/>
    <w:basedOn w:val="Normal"/>
    <w:uiPriority w:val="99"/>
    <w:unhideWhenUsed/>
    <w:rsid w:val="004C7298"/>
    <w:pPr>
      <w:widowControl/>
      <w:spacing w:before="100" w:beforeAutospacing="1" w:after="100" w:afterAutospacing="1"/>
      <w:jc w:val="left"/>
    </w:pPr>
    <w:rPr>
      <w:rFonts w:ascii="SimSun" w:eastAsia="SimSun" w:hAnsi="SimSun" w:cs="SimSun"/>
      <w:kern w:val="0"/>
      <w:sz w:val="24"/>
      <w:szCs w:val="24"/>
    </w:rPr>
  </w:style>
  <w:style w:type="character" w:styleId="Hyperlink">
    <w:name w:val="Hyperlink"/>
    <w:basedOn w:val="DefaultParagraphFont"/>
    <w:uiPriority w:val="99"/>
    <w:unhideWhenUsed/>
    <w:rsid w:val="008C7659"/>
    <w:rPr>
      <w:color w:val="0563C1" w:themeColor="hyperlink"/>
      <w:u w:val="single"/>
    </w:rPr>
  </w:style>
  <w:style w:type="character" w:styleId="UnresolvedMention">
    <w:name w:val="Unresolved Mention"/>
    <w:basedOn w:val="DefaultParagraphFont"/>
    <w:uiPriority w:val="99"/>
    <w:semiHidden/>
    <w:unhideWhenUsed/>
    <w:rsid w:val="008C7659"/>
    <w:rPr>
      <w:color w:val="605E5C"/>
      <w:shd w:val="clear" w:color="auto" w:fill="E1DFDD"/>
    </w:rPr>
  </w:style>
  <w:style w:type="paragraph" w:styleId="NoSpacing">
    <w:name w:val="No Spacing"/>
    <w:uiPriority w:val="1"/>
    <w:qFormat/>
    <w:rsid w:val="00A432C4"/>
    <w:pPr>
      <w:widowControl w:val="0"/>
      <w:jc w:val="both"/>
    </w:pPr>
  </w:style>
  <w:style w:type="character" w:customStyle="1" w:styleId="Heading1Char">
    <w:name w:val="Heading 1 Char"/>
    <w:basedOn w:val="DefaultParagraphFont"/>
    <w:link w:val="Heading1"/>
    <w:uiPriority w:val="9"/>
    <w:rsid w:val="00A432C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432C4"/>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A432C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2C4"/>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A432C4"/>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2B0A48"/>
    <w:rPr>
      <w:color w:val="954F72" w:themeColor="followedHyperlink"/>
      <w:u w:val="single"/>
    </w:rPr>
  </w:style>
  <w:style w:type="paragraph" w:styleId="Header">
    <w:name w:val="header"/>
    <w:basedOn w:val="Normal"/>
    <w:link w:val="HeaderChar"/>
    <w:uiPriority w:val="99"/>
    <w:unhideWhenUsed/>
    <w:rsid w:val="001B3410"/>
    <w:pPr>
      <w:tabs>
        <w:tab w:val="center" w:pos="4680"/>
        <w:tab w:val="right" w:pos="9360"/>
      </w:tabs>
    </w:pPr>
  </w:style>
  <w:style w:type="character" w:customStyle="1" w:styleId="HeaderChar">
    <w:name w:val="Header Char"/>
    <w:basedOn w:val="DefaultParagraphFont"/>
    <w:link w:val="Header"/>
    <w:uiPriority w:val="99"/>
    <w:rsid w:val="001B3410"/>
  </w:style>
  <w:style w:type="paragraph" w:styleId="Footer">
    <w:name w:val="footer"/>
    <w:basedOn w:val="Normal"/>
    <w:link w:val="FooterChar"/>
    <w:uiPriority w:val="99"/>
    <w:unhideWhenUsed/>
    <w:rsid w:val="001B3410"/>
    <w:pPr>
      <w:tabs>
        <w:tab w:val="center" w:pos="4680"/>
        <w:tab w:val="right" w:pos="9360"/>
      </w:tabs>
    </w:pPr>
  </w:style>
  <w:style w:type="character" w:customStyle="1" w:styleId="FooterChar">
    <w:name w:val="Footer Char"/>
    <w:basedOn w:val="DefaultParagraphFont"/>
    <w:link w:val="Footer"/>
    <w:uiPriority w:val="99"/>
    <w:rsid w:val="001B3410"/>
  </w:style>
  <w:style w:type="paragraph" w:styleId="Revision">
    <w:name w:val="Revision"/>
    <w:hidden/>
    <w:uiPriority w:val="99"/>
    <w:semiHidden/>
    <w:rsid w:val="002E7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065159">
      <w:bodyDiv w:val="1"/>
      <w:marLeft w:val="0"/>
      <w:marRight w:val="0"/>
      <w:marTop w:val="0"/>
      <w:marBottom w:val="0"/>
      <w:divBdr>
        <w:top w:val="none" w:sz="0" w:space="0" w:color="auto"/>
        <w:left w:val="none" w:sz="0" w:space="0" w:color="auto"/>
        <w:bottom w:val="none" w:sz="0" w:space="0" w:color="auto"/>
        <w:right w:val="none" w:sz="0" w:space="0" w:color="auto"/>
      </w:divBdr>
    </w:div>
    <w:div w:id="459155060">
      <w:bodyDiv w:val="1"/>
      <w:marLeft w:val="0"/>
      <w:marRight w:val="0"/>
      <w:marTop w:val="0"/>
      <w:marBottom w:val="0"/>
      <w:divBdr>
        <w:top w:val="none" w:sz="0" w:space="0" w:color="auto"/>
        <w:left w:val="none" w:sz="0" w:space="0" w:color="auto"/>
        <w:bottom w:val="none" w:sz="0" w:space="0" w:color="auto"/>
        <w:right w:val="none" w:sz="0" w:space="0" w:color="auto"/>
      </w:divBdr>
      <w:divsChild>
        <w:div w:id="167184277">
          <w:marLeft w:val="0"/>
          <w:marRight w:val="0"/>
          <w:marTop w:val="0"/>
          <w:marBottom w:val="0"/>
          <w:divBdr>
            <w:top w:val="none" w:sz="0" w:space="0" w:color="auto"/>
            <w:left w:val="none" w:sz="0" w:space="0" w:color="auto"/>
            <w:bottom w:val="none" w:sz="0" w:space="0" w:color="auto"/>
            <w:right w:val="none" w:sz="0" w:space="0" w:color="auto"/>
          </w:divBdr>
        </w:div>
        <w:div w:id="1944917746">
          <w:marLeft w:val="0"/>
          <w:marRight w:val="0"/>
          <w:marTop w:val="0"/>
          <w:marBottom w:val="0"/>
          <w:divBdr>
            <w:top w:val="none" w:sz="0" w:space="0" w:color="auto"/>
            <w:left w:val="none" w:sz="0" w:space="0" w:color="auto"/>
            <w:bottom w:val="none" w:sz="0" w:space="0" w:color="auto"/>
            <w:right w:val="none" w:sz="0" w:space="0" w:color="auto"/>
          </w:divBdr>
        </w:div>
        <w:div w:id="397020151">
          <w:marLeft w:val="0"/>
          <w:marRight w:val="0"/>
          <w:marTop w:val="0"/>
          <w:marBottom w:val="0"/>
          <w:divBdr>
            <w:top w:val="none" w:sz="0" w:space="0" w:color="auto"/>
            <w:left w:val="none" w:sz="0" w:space="0" w:color="auto"/>
            <w:bottom w:val="none" w:sz="0" w:space="0" w:color="auto"/>
            <w:right w:val="none" w:sz="0" w:space="0" w:color="auto"/>
          </w:divBdr>
          <w:divsChild>
            <w:div w:id="155060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1511">
      <w:bodyDiv w:val="1"/>
      <w:marLeft w:val="0"/>
      <w:marRight w:val="0"/>
      <w:marTop w:val="0"/>
      <w:marBottom w:val="0"/>
      <w:divBdr>
        <w:top w:val="none" w:sz="0" w:space="0" w:color="auto"/>
        <w:left w:val="none" w:sz="0" w:space="0" w:color="auto"/>
        <w:bottom w:val="none" w:sz="0" w:space="0" w:color="auto"/>
        <w:right w:val="none" w:sz="0" w:space="0" w:color="auto"/>
      </w:divBdr>
      <w:divsChild>
        <w:div w:id="1120611822">
          <w:marLeft w:val="0"/>
          <w:marRight w:val="0"/>
          <w:marTop w:val="0"/>
          <w:marBottom w:val="0"/>
          <w:divBdr>
            <w:top w:val="none" w:sz="0" w:space="0" w:color="auto"/>
            <w:left w:val="none" w:sz="0" w:space="0" w:color="auto"/>
            <w:bottom w:val="none" w:sz="0" w:space="0" w:color="auto"/>
            <w:right w:val="none" w:sz="0" w:space="0" w:color="auto"/>
          </w:divBdr>
        </w:div>
        <w:div w:id="408118383">
          <w:marLeft w:val="0"/>
          <w:marRight w:val="0"/>
          <w:marTop w:val="30"/>
          <w:marBottom w:val="0"/>
          <w:divBdr>
            <w:top w:val="none" w:sz="0" w:space="0" w:color="auto"/>
            <w:left w:val="none" w:sz="0" w:space="0" w:color="auto"/>
            <w:bottom w:val="none" w:sz="0" w:space="0" w:color="auto"/>
            <w:right w:val="none" w:sz="0" w:space="0" w:color="auto"/>
          </w:divBdr>
        </w:div>
      </w:divsChild>
    </w:div>
    <w:div w:id="1252004842">
      <w:bodyDiv w:val="1"/>
      <w:marLeft w:val="0"/>
      <w:marRight w:val="0"/>
      <w:marTop w:val="0"/>
      <w:marBottom w:val="0"/>
      <w:divBdr>
        <w:top w:val="none" w:sz="0" w:space="0" w:color="auto"/>
        <w:left w:val="none" w:sz="0" w:space="0" w:color="auto"/>
        <w:bottom w:val="none" w:sz="0" w:space="0" w:color="auto"/>
        <w:right w:val="none" w:sz="0" w:space="0" w:color="auto"/>
      </w:divBdr>
    </w:div>
    <w:div w:id="1350720782">
      <w:bodyDiv w:val="1"/>
      <w:marLeft w:val="0"/>
      <w:marRight w:val="0"/>
      <w:marTop w:val="0"/>
      <w:marBottom w:val="0"/>
      <w:divBdr>
        <w:top w:val="none" w:sz="0" w:space="0" w:color="auto"/>
        <w:left w:val="none" w:sz="0" w:space="0" w:color="auto"/>
        <w:bottom w:val="none" w:sz="0" w:space="0" w:color="auto"/>
        <w:right w:val="none" w:sz="0" w:space="0" w:color="auto"/>
      </w:divBdr>
      <w:divsChild>
        <w:div w:id="1337079230">
          <w:marLeft w:val="0"/>
          <w:marRight w:val="0"/>
          <w:marTop w:val="0"/>
          <w:marBottom w:val="0"/>
          <w:divBdr>
            <w:top w:val="none" w:sz="0" w:space="0" w:color="auto"/>
            <w:left w:val="none" w:sz="0" w:space="0" w:color="auto"/>
            <w:bottom w:val="none" w:sz="0" w:space="0" w:color="auto"/>
            <w:right w:val="none" w:sz="0" w:space="0" w:color="auto"/>
          </w:divBdr>
        </w:div>
      </w:divsChild>
    </w:div>
    <w:div w:id="1520269903">
      <w:bodyDiv w:val="1"/>
      <w:marLeft w:val="0"/>
      <w:marRight w:val="0"/>
      <w:marTop w:val="0"/>
      <w:marBottom w:val="0"/>
      <w:divBdr>
        <w:top w:val="none" w:sz="0" w:space="0" w:color="auto"/>
        <w:left w:val="none" w:sz="0" w:space="0" w:color="auto"/>
        <w:bottom w:val="none" w:sz="0" w:space="0" w:color="auto"/>
        <w:right w:val="none" w:sz="0" w:space="0" w:color="auto"/>
      </w:divBdr>
    </w:div>
    <w:div w:id="1608584790">
      <w:bodyDiv w:val="1"/>
      <w:marLeft w:val="0"/>
      <w:marRight w:val="0"/>
      <w:marTop w:val="0"/>
      <w:marBottom w:val="0"/>
      <w:divBdr>
        <w:top w:val="none" w:sz="0" w:space="0" w:color="auto"/>
        <w:left w:val="none" w:sz="0" w:space="0" w:color="auto"/>
        <w:bottom w:val="none" w:sz="0" w:space="0" w:color="auto"/>
        <w:right w:val="none" w:sz="0" w:space="0" w:color="auto"/>
      </w:divBdr>
      <w:divsChild>
        <w:div w:id="402535273">
          <w:marLeft w:val="0"/>
          <w:marRight w:val="0"/>
          <w:marTop w:val="0"/>
          <w:marBottom w:val="0"/>
          <w:divBdr>
            <w:top w:val="none" w:sz="0" w:space="0" w:color="auto"/>
            <w:left w:val="none" w:sz="0" w:space="0" w:color="auto"/>
            <w:bottom w:val="none" w:sz="0" w:space="0" w:color="auto"/>
            <w:right w:val="none" w:sz="0" w:space="0" w:color="auto"/>
          </w:divBdr>
          <w:divsChild>
            <w:div w:id="818158167">
              <w:marLeft w:val="0"/>
              <w:marRight w:val="0"/>
              <w:marTop w:val="0"/>
              <w:marBottom w:val="0"/>
              <w:divBdr>
                <w:top w:val="none" w:sz="0" w:space="0" w:color="auto"/>
                <w:left w:val="none" w:sz="0" w:space="0" w:color="auto"/>
                <w:bottom w:val="none" w:sz="0" w:space="0" w:color="auto"/>
                <w:right w:val="none" w:sz="0" w:space="0" w:color="auto"/>
              </w:divBdr>
              <w:divsChild>
                <w:div w:id="477578022">
                  <w:marLeft w:val="0"/>
                  <w:marRight w:val="0"/>
                  <w:marTop w:val="0"/>
                  <w:marBottom w:val="0"/>
                  <w:divBdr>
                    <w:top w:val="none" w:sz="0" w:space="0" w:color="auto"/>
                    <w:left w:val="none" w:sz="0" w:space="0" w:color="auto"/>
                    <w:bottom w:val="none" w:sz="0" w:space="0" w:color="auto"/>
                    <w:right w:val="none" w:sz="0" w:space="0" w:color="auto"/>
                  </w:divBdr>
                  <w:divsChild>
                    <w:div w:id="11090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43818">
      <w:bodyDiv w:val="1"/>
      <w:marLeft w:val="0"/>
      <w:marRight w:val="0"/>
      <w:marTop w:val="0"/>
      <w:marBottom w:val="0"/>
      <w:divBdr>
        <w:top w:val="none" w:sz="0" w:space="0" w:color="auto"/>
        <w:left w:val="none" w:sz="0" w:space="0" w:color="auto"/>
        <w:bottom w:val="none" w:sz="0" w:space="0" w:color="auto"/>
        <w:right w:val="none" w:sz="0" w:space="0" w:color="auto"/>
      </w:divBdr>
    </w:div>
    <w:div w:id="1890258203">
      <w:bodyDiv w:val="1"/>
      <w:marLeft w:val="0"/>
      <w:marRight w:val="0"/>
      <w:marTop w:val="0"/>
      <w:marBottom w:val="0"/>
      <w:divBdr>
        <w:top w:val="none" w:sz="0" w:space="0" w:color="auto"/>
        <w:left w:val="none" w:sz="0" w:space="0" w:color="auto"/>
        <w:bottom w:val="none" w:sz="0" w:space="0" w:color="auto"/>
        <w:right w:val="none" w:sz="0" w:space="0" w:color="auto"/>
      </w:divBdr>
    </w:div>
    <w:div w:id="1908999611">
      <w:bodyDiv w:val="1"/>
      <w:marLeft w:val="0"/>
      <w:marRight w:val="0"/>
      <w:marTop w:val="0"/>
      <w:marBottom w:val="0"/>
      <w:divBdr>
        <w:top w:val="none" w:sz="0" w:space="0" w:color="auto"/>
        <w:left w:val="none" w:sz="0" w:space="0" w:color="auto"/>
        <w:bottom w:val="none" w:sz="0" w:space="0" w:color="auto"/>
        <w:right w:val="none" w:sz="0" w:space="0" w:color="auto"/>
      </w:divBdr>
    </w:div>
    <w:div w:id="2122525007">
      <w:bodyDiv w:val="1"/>
      <w:marLeft w:val="0"/>
      <w:marRight w:val="0"/>
      <w:marTop w:val="0"/>
      <w:marBottom w:val="0"/>
      <w:divBdr>
        <w:top w:val="none" w:sz="0" w:space="0" w:color="auto"/>
        <w:left w:val="none" w:sz="0" w:space="0" w:color="auto"/>
        <w:bottom w:val="none" w:sz="0" w:space="0" w:color="auto"/>
        <w:right w:val="none" w:sz="0" w:space="0" w:color="auto"/>
      </w:divBdr>
      <w:divsChild>
        <w:div w:id="10318050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limatebonds.net/resources/reports/green-bond-china-investor-survey-2022" TargetMode="External"/><Relationship Id="rId12" Type="http://schemas.openxmlformats.org/officeDocument/2006/relationships/hyperlink" Target="https://www.climatebonds.net/resources/reports/green-bond-china-investor-survey-2022" TargetMode="External"/><Relationship Id="rId17" Type="http://schemas.openxmlformats.org/officeDocument/2006/relationships/hyperlink" Target="https://www.climatebonds.net/" TargetMode="External"/><Relationship Id="rId2" Type="http://schemas.openxmlformats.org/officeDocument/2006/relationships/styles" Target="styles.xml"/><Relationship Id="rId16" Type="http://schemas.openxmlformats.org/officeDocument/2006/relationships/hyperlink" Target="mailto:kay.withers@natixi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mariana.caminha@climatebonds.net"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 serjan</dc:creator>
  <cp:keywords/>
  <dc:description/>
  <cp:lastModifiedBy>Manshu Deng</cp:lastModifiedBy>
  <cp:revision>4</cp:revision>
  <dcterms:created xsi:type="dcterms:W3CDTF">2022-04-28T16:47:00Z</dcterms:created>
  <dcterms:modified xsi:type="dcterms:W3CDTF">2022-05-03T13:49:00Z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83a6fe-0b6e-4399-9d09-a1c8d8d5000c_Enabled">
    <vt:lpwstr>True</vt:lpwstr>
  </property>
  <property fmtid="{D5CDD505-2E9C-101B-9397-08002B2CF9AE}" pid="3" name="MSIP_Label_6e83a6fe-0b6e-4399-9d09-a1c8d8d5000c_SiteId">
    <vt:lpwstr>d5bb6d35-8a82-4329-b49a-5030bd6497ab</vt:lpwstr>
  </property>
  <property fmtid="{D5CDD505-2E9C-101B-9397-08002B2CF9AE}" pid="4" name="MSIP_Label_6e83a6fe-0b6e-4399-9d09-a1c8d8d5000c_Owner">
    <vt:lpwstr>kay.withers@natixis.com</vt:lpwstr>
  </property>
  <property fmtid="{D5CDD505-2E9C-101B-9397-08002B2CF9AE}" pid="5" name="MSIP_Label_6e83a6fe-0b6e-4399-9d09-a1c8d8d5000c_SetDate">
    <vt:lpwstr>2022-04-08T15:07:11.7733199Z</vt:lpwstr>
  </property>
  <property fmtid="{D5CDD505-2E9C-101B-9397-08002B2CF9AE}" pid="6" name="MSIP_Label_6e83a6fe-0b6e-4399-9d09-a1c8d8d5000c_Name">
    <vt:lpwstr>C1 - Public Natixis</vt:lpwstr>
  </property>
  <property fmtid="{D5CDD505-2E9C-101B-9397-08002B2CF9AE}" pid="7" name="MSIP_Label_6e83a6fe-0b6e-4399-9d09-a1c8d8d5000c_Application">
    <vt:lpwstr>Microsoft Azure Information Protection</vt:lpwstr>
  </property>
  <property fmtid="{D5CDD505-2E9C-101B-9397-08002B2CF9AE}" pid="8" name="MSIP_Label_6e83a6fe-0b6e-4399-9d09-a1c8d8d5000c_ActionId">
    <vt:lpwstr>bfc04100-908f-428c-aac4-75835d65b1fe</vt:lpwstr>
  </property>
  <property fmtid="{D5CDD505-2E9C-101B-9397-08002B2CF9AE}" pid="9" name="MSIP_Label_6e83a6fe-0b6e-4399-9d09-a1c8d8d5000c_Extended_MSFT_Method">
    <vt:lpwstr>Manual</vt:lpwstr>
  </property>
  <property fmtid="{D5CDD505-2E9C-101B-9397-08002B2CF9AE}" pid="10" name="Sensitivity">
    <vt:lpwstr>C1 - Public Natixis</vt:lpwstr>
  </property>
</Properties>
</file>