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8BC" w14:textId="44E2DCE0" w:rsidR="00911482" w:rsidRPr="00490D39" w:rsidRDefault="00911482" w:rsidP="00911482">
      <w:pPr>
        <w:spacing w:after="0"/>
        <w:rPr>
          <w:b/>
          <w:sz w:val="21"/>
          <w:szCs w:val="21"/>
        </w:rPr>
      </w:pPr>
      <w:r w:rsidRPr="00490D39">
        <w:rPr>
          <w:b/>
          <w:sz w:val="21"/>
          <w:szCs w:val="21"/>
        </w:rPr>
        <w:t>Media Release</w:t>
      </w:r>
    </w:p>
    <w:p w14:paraId="2C456182" w14:textId="77777777" w:rsidR="00911482" w:rsidRDefault="00911482" w:rsidP="00911482">
      <w:pPr>
        <w:spacing w:after="0"/>
        <w:rPr>
          <w:b/>
          <w:sz w:val="24"/>
          <w:szCs w:val="24"/>
        </w:rPr>
      </w:pPr>
    </w:p>
    <w:p w14:paraId="405554C9" w14:textId="0BB8F9E5" w:rsidR="00CB5A21" w:rsidRPr="004703AB" w:rsidRDefault="0012778A" w:rsidP="004703AB">
      <w:pPr>
        <w:spacing w:after="0"/>
        <w:jc w:val="center"/>
        <w:rPr>
          <w:b/>
          <w:sz w:val="32"/>
          <w:szCs w:val="32"/>
        </w:rPr>
      </w:pPr>
      <w:r>
        <w:rPr>
          <w:b/>
          <w:sz w:val="32"/>
          <w:szCs w:val="32"/>
        </w:rPr>
        <w:t>Green Bond Label</w:t>
      </w:r>
      <w:r w:rsidR="00D91DDA">
        <w:rPr>
          <w:b/>
          <w:sz w:val="32"/>
          <w:szCs w:val="32"/>
        </w:rPr>
        <w:t xml:space="preserve"> Helped Deals Over the Line</w:t>
      </w:r>
      <w:r>
        <w:rPr>
          <w:b/>
          <w:sz w:val="32"/>
          <w:szCs w:val="32"/>
        </w:rPr>
        <w:t xml:space="preserve"> in Volatile 2022 </w:t>
      </w:r>
    </w:p>
    <w:p w14:paraId="09CF54D7" w14:textId="77777777" w:rsidR="00D91DDA" w:rsidRPr="00CB5A21" w:rsidRDefault="00D91DDA" w:rsidP="009252F2">
      <w:pPr>
        <w:spacing w:after="0"/>
        <w:jc w:val="center"/>
        <w:rPr>
          <w:b/>
          <w:sz w:val="24"/>
          <w:szCs w:val="24"/>
        </w:rPr>
      </w:pPr>
    </w:p>
    <w:p w14:paraId="67440D86" w14:textId="59E0865B" w:rsidR="00D91DDA" w:rsidRPr="009252F2" w:rsidRDefault="00D91DDA" w:rsidP="00D91DDA">
      <w:pPr>
        <w:spacing w:after="120"/>
        <w:jc w:val="center"/>
        <w:rPr>
          <w:b/>
          <w:sz w:val="28"/>
          <w:szCs w:val="28"/>
        </w:rPr>
      </w:pPr>
      <w:r w:rsidRPr="009252F2">
        <w:rPr>
          <w:bCs/>
          <w:i/>
          <w:iCs/>
          <w:sz w:val="28"/>
          <w:szCs w:val="28"/>
        </w:rPr>
        <w:t xml:space="preserve">Every GSS+ Bond Label Exhibits Pricing Benefits with </w:t>
      </w:r>
      <w:r w:rsidR="009007B0">
        <w:rPr>
          <w:bCs/>
          <w:i/>
          <w:iCs/>
          <w:sz w:val="28"/>
          <w:szCs w:val="28"/>
        </w:rPr>
        <w:t>Green</w:t>
      </w:r>
      <w:r w:rsidR="009252F2">
        <w:rPr>
          <w:bCs/>
          <w:i/>
          <w:iCs/>
          <w:sz w:val="28"/>
          <w:szCs w:val="28"/>
        </w:rPr>
        <w:t xml:space="preserve"> Bonds </w:t>
      </w:r>
      <w:r w:rsidRPr="009252F2">
        <w:rPr>
          <w:bCs/>
          <w:i/>
          <w:iCs/>
          <w:sz w:val="28"/>
          <w:szCs w:val="28"/>
        </w:rPr>
        <w:t>the Hottest of the Lot</w:t>
      </w:r>
    </w:p>
    <w:p w14:paraId="3D4BF1FE" w14:textId="77777777" w:rsidR="00BD7D5C" w:rsidRDefault="00BD7D5C" w:rsidP="004703AB">
      <w:pPr>
        <w:autoSpaceDE w:val="0"/>
        <w:autoSpaceDN w:val="0"/>
        <w:adjustRightInd w:val="0"/>
        <w:spacing w:after="0" w:line="240" w:lineRule="auto"/>
        <w:jc w:val="both"/>
        <w:rPr>
          <w:b/>
          <w:sz w:val="24"/>
          <w:szCs w:val="24"/>
        </w:rPr>
      </w:pPr>
    </w:p>
    <w:p w14:paraId="05E338DE" w14:textId="78FDD7C7" w:rsidR="00D91DDA" w:rsidRPr="009252F2" w:rsidRDefault="00911482" w:rsidP="004703AB">
      <w:pPr>
        <w:autoSpaceDE w:val="0"/>
        <w:autoSpaceDN w:val="0"/>
        <w:adjustRightInd w:val="0"/>
        <w:spacing w:after="0" w:line="240" w:lineRule="auto"/>
        <w:jc w:val="both"/>
        <w:rPr>
          <w:rFonts w:eastAsia="DengXian" w:cstheme="minorHAnsi"/>
          <w:bCs/>
        </w:rPr>
      </w:pPr>
      <w:r w:rsidRPr="009252F2">
        <w:rPr>
          <w:rFonts w:eastAsia="DengXian" w:cstheme="minorHAnsi"/>
          <w:b/>
          <w:bCs/>
          <w:color w:val="212121"/>
          <w:u w:val="single"/>
        </w:rPr>
        <w:t xml:space="preserve">London: </w:t>
      </w:r>
      <w:r w:rsidR="00FA5830" w:rsidRPr="009252F2">
        <w:rPr>
          <w:rFonts w:eastAsia="DengXian" w:cstheme="minorHAnsi"/>
          <w:b/>
          <w:bCs/>
          <w:color w:val="212121"/>
          <w:u w:val="single"/>
        </w:rPr>
        <w:t>15/03/2023</w:t>
      </w:r>
      <w:r w:rsidRPr="009252F2">
        <w:rPr>
          <w:rFonts w:eastAsia="DengXian" w:cstheme="minorHAnsi"/>
          <w:b/>
          <w:bCs/>
          <w:color w:val="212121"/>
          <w:u w:val="single"/>
        </w:rPr>
        <w:t>:</w:t>
      </w:r>
      <w:r w:rsidR="005A2DA1" w:rsidRPr="009252F2">
        <w:rPr>
          <w:rFonts w:eastAsia="DengXian" w:cstheme="minorHAnsi"/>
          <w:b/>
          <w:bCs/>
          <w:color w:val="212121"/>
          <w:u w:val="single"/>
        </w:rPr>
        <w:t xml:space="preserve"> 0</w:t>
      </w:r>
      <w:r w:rsidR="0012778A" w:rsidRPr="009252F2">
        <w:rPr>
          <w:rFonts w:eastAsia="DengXian" w:cstheme="minorHAnsi"/>
          <w:b/>
          <w:bCs/>
          <w:color w:val="212121"/>
          <w:u w:val="single"/>
        </w:rPr>
        <w:t>8</w:t>
      </w:r>
      <w:r w:rsidR="005A2DA1" w:rsidRPr="009252F2">
        <w:rPr>
          <w:rFonts w:eastAsia="DengXian" w:cstheme="minorHAnsi"/>
          <w:b/>
          <w:bCs/>
          <w:color w:val="212121"/>
          <w:u w:val="single"/>
        </w:rPr>
        <w:t>:</w:t>
      </w:r>
      <w:r w:rsidR="0012778A" w:rsidRPr="009252F2">
        <w:rPr>
          <w:rFonts w:eastAsia="DengXian" w:cstheme="minorHAnsi"/>
          <w:b/>
          <w:bCs/>
          <w:color w:val="212121"/>
          <w:u w:val="single"/>
        </w:rPr>
        <w:t>0</w:t>
      </w:r>
      <w:r w:rsidR="005A2DA1" w:rsidRPr="009252F2">
        <w:rPr>
          <w:rFonts w:eastAsia="DengXian" w:cstheme="minorHAnsi"/>
          <w:b/>
          <w:bCs/>
          <w:color w:val="212121"/>
          <w:u w:val="single"/>
        </w:rPr>
        <w:t>0</w:t>
      </w:r>
      <w:r w:rsidRPr="009252F2">
        <w:rPr>
          <w:rFonts w:eastAsia="DengXian" w:cstheme="minorHAnsi"/>
          <w:b/>
          <w:bCs/>
          <w:color w:val="212121"/>
          <w:u w:val="single"/>
        </w:rPr>
        <w:t xml:space="preserve"> </w:t>
      </w:r>
      <w:r w:rsidR="005A2DA1" w:rsidRPr="009252F2">
        <w:rPr>
          <w:rFonts w:eastAsia="DengXian" w:cstheme="minorHAnsi"/>
          <w:b/>
          <w:bCs/>
          <w:color w:val="212121"/>
          <w:u w:val="single"/>
        </w:rPr>
        <w:t>BST</w:t>
      </w:r>
      <w:r w:rsidR="00D91DDA" w:rsidRPr="009252F2">
        <w:rPr>
          <w:rFonts w:eastAsia="DengXian" w:cstheme="minorHAnsi"/>
          <w:b/>
          <w:bCs/>
          <w:color w:val="212121"/>
          <w:u w:val="single"/>
        </w:rPr>
        <w:t>:</w:t>
      </w:r>
      <w:r w:rsidR="00D91DDA" w:rsidRPr="009252F2">
        <w:rPr>
          <w:rFonts w:eastAsia="DengXian" w:cstheme="minorHAnsi"/>
          <w:b/>
          <w:bCs/>
          <w:color w:val="212121"/>
        </w:rPr>
        <w:t xml:space="preserve"> </w:t>
      </w:r>
      <w:r w:rsidR="00D91DDA" w:rsidRPr="009252F2">
        <w:rPr>
          <w:rFonts w:eastAsia="DengXian" w:cstheme="minorHAnsi"/>
          <w:b/>
          <w:i/>
          <w:iCs/>
        </w:rPr>
        <w:t>Leading green finance not-for-profit,</w:t>
      </w:r>
      <w:r w:rsidR="00FA5830" w:rsidRPr="009252F2">
        <w:rPr>
          <w:rFonts w:eastAsia="DengXian" w:cstheme="minorHAnsi"/>
          <w:b/>
          <w:i/>
          <w:iCs/>
        </w:rPr>
        <w:t xml:space="preserve"> Climate Bonds Initiative (Climate Bonds)</w:t>
      </w:r>
      <w:r w:rsidR="00D91DDA" w:rsidRPr="009252F2">
        <w:rPr>
          <w:rFonts w:eastAsia="DengXian" w:cstheme="minorHAnsi"/>
          <w:b/>
          <w:i/>
          <w:iCs/>
        </w:rPr>
        <w:t>, today releases a ground-breaking report on the pricing benefits of green and other labelled bonds. According to the report, all bond labels, including green, social, and sustainability, sustainability-linked and transition bonds</w:t>
      </w:r>
      <w:r w:rsidR="00D91DDA" w:rsidRPr="00D91DDA">
        <w:rPr>
          <w:rFonts w:eastAsia="DengXian" w:cstheme="minorHAnsi"/>
          <w:b/>
          <w:i/>
          <w:iCs/>
        </w:rPr>
        <w:t xml:space="preserve"> (GSS+)</w:t>
      </w:r>
      <w:r w:rsidR="00D91DDA" w:rsidRPr="009252F2">
        <w:rPr>
          <w:rFonts w:eastAsia="DengXian" w:cstheme="minorHAnsi"/>
          <w:b/>
          <w:i/>
          <w:iCs/>
        </w:rPr>
        <w:t xml:space="preserve"> offer pricing benefits compared to vanilla equivalents. The analysis – sampling bond</w:t>
      </w:r>
      <w:r w:rsidR="009252F2">
        <w:rPr>
          <w:rFonts w:eastAsia="DengXian" w:cstheme="minorHAnsi"/>
          <w:b/>
          <w:i/>
          <w:iCs/>
        </w:rPr>
        <w:t>s</w:t>
      </w:r>
      <w:r w:rsidR="00E01F14">
        <w:rPr>
          <w:rFonts w:eastAsia="DengXian" w:cstheme="minorHAnsi"/>
          <w:b/>
          <w:i/>
          <w:iCs/>
        </w:rPr>
        <w:t xml:space="preserve"> priced</w:t>
      </w:r>
      <w:r w:rsidR="00D91DDA" w:rsidRPr="009252F2">
        <w:rPr>
          <w:rFonts w:eastAsia="DengXian" w:cstheme="minorHAnsi"/>
          <w:b/>
          <w:i/>
          <w:iCs/>
        </w:rPr>
        <w:t xml:space="preserve"> </w:t>
      </w:r>
      <w:r w:rsidR="00E01F14">
        <w:rPr>
          <w:rFonts w:eastAsia="DengXian" w:cstheme="minorHAnsi"/>
          <w:b/>
          <w:i/>
          <w:iCs/>
        </w:rPr>
        <w:t>in</w:t>
      </w:r>
      <w:r w:rsidR="00D91DDA" w:rsidRPr="009252F2">
        <w:rPr>
          <w:rFonts w:eastAsia="DengXian" w:cstheme="minorHAnsi"/>
          <w:b/>
          <w:i/>
          <w:iCs/>
        </w:rPr>
        <w:t xml:space="preserve"> the choppy market period of H2 2022- also revealed green bonds have a strong following of investors which helped get deals done in difficult in a faltering fixed income landscape last year.</w:t>
      </w:r>
    </w:p>
    <w:p w14:paraId="778FB38F" w14:textId="77777777" w:rsidR="00D91DDA" w:rsidRPr="009252F2" w:rsidRDefault="00D91DDA" w:rsidP="004703AB">
      <w:pPr>
        <w:autoSpaceDE w:val="0"/>
        <w:autoSpaceDN w:val="0"/>
        <w:adjustRightInd w:val="0"/>
        <w:spacing w:after="0" w:line="240" w:lineRule="auto"/>
        <w:jc w:val="both"/>
        <w:rPr>
          <w:rFonts w:eastAsia="DengXian" w:cstheme="minorHAnsi"/>
          <w:b/>
        </w:rPr>
      </w:pPr>
    </w:p>
    <w:p w14:paraId="45400098" w14:textId="4BCA8602" w:rsidR="00D91DDA" w:rsidRPr="00D91DDA" w:rsidRDefault="00D91DDA" w:rsidP="00D91DDA">
      <w:pPr>
        <w:autoSpaceDE w:val="0"/>
        <w:autoSpaceDN w:val="0"/>
        <w:adjustRightInd w:val="0"/>
        <w:spacing w:after="0" w:line="240" w:lineRule="auto"/>
        <w:jc w:val="both"/>
        <w:rPr>
          <w:rFonts w:eastAsia="DengXian" w:cstheme="minorHAnsi"/>
          <w:bCs/>
        </w:rPr>
      </w:pPr>
      <w:r w:rsidRPr="009252F2">
        <w:rPr>
          <w:rFonts w:eastAsia="DengXian" w:cstheme="minorHAnsi"/>
          <w:bCs/>
        </w:rPr>
        <w:t>From a s</w:t>
      </w:r>
      <w:r w:rsidRPr="009252F2">
        <w:t>ample of 72 green bonds with a combined face value of USD79bn</w:t>
      </w:r>
      <w:r w:rsidRPr="00D91DDA">
        <w:t xml:space="preserve"> </w:t>
      </w:r>
      <w:r w:rsidRPr="009252F2">
        <w:t xml:space="preserve">priced between July and December 2022, Climate Bonds </w:t>
      </w:r>
      <w:r w:rsidRPr="009252F2">
        <w:rPr>
          <w:rFonts w:eastAsia="DengXian" w:cstheme="minorHAnsi"/>
          <w:bCs/>
        </w:rPr>
        <w:t>calculated green bond allocations to investors describing themselves as green or socially responsible reached</w:t>
      </w:r>
      <w:r w:rsidR="00BD7D5C">
        <w:rPr>
          <w:rFonts w:eastAsia="DengXian" w:cstheme="minorHAnsi"/>
          <w:bCs/>
        </w:rPr>
        <w:t xml:space="preserve"> a record</w:t>
      </w:r>
      <w:r w:rsidRPr="009252F2">
        <w:rPr>
          <w:rFonts w:eastAsia="DengXian" w:cstheme="minorHAnsi"/>
          <w:bCs/>
        </w:rPr>
        <w:t xml:space="preserve"> 67%</w:t>
      </w:r>
      <w:r w:rsidR="009007B0">
        <w:rPr>
          <w:rFonts w:eastAsia="DengXian" w:cstheme="minorHAnsi"/>
          <w:bCs/>
        </w:rPr>
        <w:t>, on average</w:t>
      </w:r>
      <w:r w:rsidRPr="00D91DDA">
        <w:rPr>
          <w:rFonts w:eastAsia="DengXian" w:cstheme="minorHAnsi"/>
          <w:bCs/>
        </w:rPr>
        <w:t>.</w:t>
      </w:r>
      <w:r w:rsidRPr="009252F2">
        <w:rPr>
          <w:rFonts w:eastAsia="DengXian" w:cstheme="minorHAnsi"/>
          <w:bCs/>
        </w:rPr>
        <w:t xml:space="preserve"> Multiple issuers reported this unique source of support helped get deals </w:t>
      </w:r>
      <w:r w:rsidRPr="009252F2">
        <w:rPr>
          <w:rFonts w:eastAsia="DengXian" w:cstheme="minorHAnsi"/>
          <w:bCs/>
          <w:i/>
          <w:iCs/>
        </w:rPr>
        <w:t>over the line</w:t>
      </w:r>
      <w:r w:rsidRPr="009252F2">
        <w:rPr>
          <w:rFonts w:eastAsia="DengXian" w:cstheme="minorHAnsi"/>
          <w:bCs/>
        </w:rPr>
        <w:t xml:space="preserve"> in a period of high volatility </w:t>
      </w:r>
      <w:r w:rsidR="009252F2">
        <w:rPr>
          <w:rFonts w:eastAsia="DengXian" w:cstheme="minorHAnsi"/>
          <w:bCs/>
        </w:rPr>
        <w:t>where deals collapsed and stretches of days passed without new deals being priced</w:t>
      </w:r>
      <w:r w:rsidRPr="009252F2">
        <w:rPr>
          <w:rFonts w:eastAsia="DengXian" w:cstheme="minorHAnsi"/>
          <w:bCs/>
        </w:rPr>
        <w:t>. Auto manufacturers</w:t>
      </w:r>
      <w:r w:rsidRPr="00D91DDA">
        <w:rPr>
          <w:rFonts w:eastAsia="DengXian" w:cstheme="minorHAnsi"/>
          <w:bCs/>
        </w:rPr>
        <w:t xml:space="preserve"> saw particularly strong</w:t>
      </w:r>
      <w:r w:rsidRPr="009252F2">
        <w:rPr>
          <w:rFonts w:eastAsia="DengXian" w:cstheme="minorHAnsi"/>
          <w:bCs/>
        </w:rPr>
        <w:t xml:space="preserve"> </w:t>
      </w:r>
      <w:r w:rsidRPr="00D91DDA">
        <w:rPr>
          <w:rFonts w:eastAsia="DengXian" w:cstheme="minorHAnsi"/>
          <w:bCs/>
        </w:rPr>
        <w:t xml:space="preserve">support with </w:t>
      </w:r>
      <w:r w:rsidRPr="009252F2">
        <w:rPr>
          <w:rFonts w:eastAsia="DengXian" w:cstheme="minorHAnsi"/>
          <w:bCs/>
        </w:rPr>
        <w:t>allocations for A</w:t>
      </w:r>
      <w:r>
        <w:rPr>
          <w:rFonts w:eastAsia="DengXian" w:cstheme="minorHAnsi"/>
          <w:bCs/>
        </w:rPr>
        <w:t>ldi</w:t>
      </w:r>
      <w:r w:rsidRPr="009252F2">
        <w:rPr>
          <w:rFonts w:eastAsia="DengXian" w:cstheme="minorHAnsi"/>
          <w:bCs/>
        </w:rPr>
        <w:t>, Renault, and VW reaching at least 80%</w:t>
      </w:r>
      <w:r w:rsidRPr="00D91DDA">
        <w:rPr>
          <w:rFonts w:eastAsia="DengXian" w:cstheme="minorHAnsi"/>
          <w:bCs/>
        </w:rPr>
        <w:t xml:space="preserve"> </w:t>
      </w:r>
      <w:r w:rsidR="009007B0">
        <w:rPr>
          <w:rFonts w:eastAsia="DengXian" w:cstheme="minorHAnsi"/>
          <w:bCs/>
        </w:rPr>
        <w:t xml:space="preserve">of </w:t>
      </w:r>
      <w:r w:rsidRPr="00D91DDA">
        <w:rPr>
          <w:rFonts w:eastAsia="DengXian" w:cstheme="minorHAnsi"/>
          <w:bCs/>
        </w:rPr>
        <w:t xml:space="preserve">green investors, with issuers remarking the success of the deal was helped by the green label. </w:t>
      </w:r>
    </w:p>
    <w:p w14:paraId="68753423" w14:textId="026A623A" w:rsidR="00D91DDA" w:rsidRPr="00D91DDA" w:rsidRDefault="00D91DDA" w:rsidP="00D91DDA">
      <w:pPr>
        <w:autoSpaceDE w:val="0"/>
        <w:autoSpaceDN w:val="0"/>
        <w:adjustRightInd w:val="0"/>
        <w:spacing w:after="0" w:line="240" w:lineRule="auto"/>
        <w:jc w:val="both"/>
        <w:rPr>
          <w:rFonts w:eastAsia="DengXian" w:cstheme="minorHAnsi"/>
          <w:bCs/>
        </w:rPr>
      </w:pPr>
    </w:p>
    <w:p w14:paraId="4646FEC5" w14:textId="30EB0786" w:rsidR="00D91DDA" w:rsidRPr="00D91DDA" w:rsidRDefault="00D91DDA" w:rsidP="00D91DDA">
      <w:pPr>
        <w:autoSpaceDE w:val="0"/>
        <w:autoSpaceDN w:val="0"/>
        <w:adjustRightInd w:val="0"/>
        <w:spacing w:after="0" w:line="240" w:lineRule="auto"/>
        <w:jc w:val="both"/>
        <w:rPr>
          <w:rFonts w:eastAsia="DengXian" w:cstheme="minorHAnsi"/>
          <w:bCs/>
        </w:rPr>
      </w:pPr>
      <w:r w:rsidRPr="00D91DDA">
        <w:rPr>
          <w:rFonts w:eastAsia="DengXian" w:cstheme="minorHAnsi"/>
          <w:bCs/>
        </w:rPr>
        <w:t>Climate Bonds has been surveying this data since 2017 on a semi-annual basis, and allocation</w:t>
      </w:r>
      <w:r w:rsidR="009007B0">
        <w:rPr>
          <w:rFonts w:eastAsia="DengXian" w:cstheme="minorHAnsi"/>
          <w:bCs/>
        </w:rPr>
        <w:t xml:space="preserve">s </w:t>
      </w:r>
      <w:r w:rsidRPr="00D91DDA">
        <w:rPr>
          <w:rFonts w:eastAsia="DengXian" w:cstheme="minorHAnsi"/>
          <w:bCs/>
        </w:rPr>
        <w:t>have ranged from 45% in H2 2017, climbing to 67% in the most recent observation period</w:t>
      </w:r>
      <w:r w:rsidR="009252F2">
        <w:rPr>
          <w:rFonts w:eastAsia="DengXian" w:cstheme="minorHAnsi"/>
          <w:bCs/>
        </w:rPr>
        <w:t>,</w:t>
      </w:r>
      <w:r w:rsidRPr="00D91DDA">
        <w:rPr>
          <w:rFonts w:eastAsia="DengXian" w:cstheme="minorHAnsi"/>
          <w:bCs/>
        </w:rPr>
        <w:t xml:space="preserve"> having been within two percentage points of that since H1 2021. </w:t>
      </w:r>
      <w:r w:rsidRPr="00D91DDA">
        <w:t xml:space="preserve"> </w:t>
      </w:r>
      <w:r w:rsidRPr="00D91DDA">
        <w:rPr>
          <w:rFonts w:eastAsia="DengXian" w:cstheme="minorHAnsi"/>
          <w:bCs/>
        </w:rPr>
        <w:t>This suggests that issuers can rely on this strong appetite from dedicated investors which has also undoubtedly contributed to the strong pricing dynamics we have consistently seen for green bonds over the past few years.</w:t>
      </w:r>
    </w:p>
    <w:p w14:paraId="1E20EDDC" w14:textId="5805F9BF" w:rsidR="00D91DDA" w:rsidRPr="00D91DDA" w:rsidRDefault="00D91DDA" w:rsidP="00D91DDA">
      <w:pPr>
        <w:autoSpaceDE w:val="0"/>
        <w:autoSpaceDN w:val="0"/>
        <w:adjustRightInd w:val="0"/>
        <w:spacing w:after="0" w:line="240" w:lineRule="auto"/>
        <w:jc w:val="both"/>
        <w:rPr>
          <w:rFonts w:eastAsia="DengXian" w:cstheme="minorHAnsi"/>
          <w:bCs/>
        </w:rPr>
      </w:pPr>
    </w:p>
    <w:p w14:paraId="14E9F609" w14:textId="66131FED" w:rsidR="00D91DDA" w:rsidRPr="00D91DDA" w:rsidRDefault="00D91DDA" w:rsidP="00D91DDA">
      <w:pPr>
        <w:shd w:val="clear" w:color="auto" w:fill="FFFFFF"/>
        <w:spacing w:after="0" w:line="240" w:lineRule="auto"/>
        <w:rPr>
          <w:rStyle w:val="Hyperlink"/>
          <w:rFonts w:eastAsia="DengXian" w:cstheme="minorHAnsi"/>
          <w:color w:val="auto"/>
          <w:u w:val="none"/>
        </w:rPr>
      </w:pPr>
      <w:r w:rsidRPr="00D91DDA">
        <w:rPr>
          <w:rStyle w:val="Hyperlink"/>
          <w:rFonts w:eastAsia="DengXian" w:cstheme="minorHAnsi"/>
          <w:color w:val="auto"/>
          <w:u w:val="none"/>
        </w:rPr>
        <w:t xml:space="preserve">“Thematic bonds have issuers and investors head over heels for one another! Green and other labelled bonds carry huge demand, are regularly oversubscribed, and deliver </w:t>
      </w:r>
      <w:r w:rsidR="009007B0">
        <w:rPr>
          <w:rStyle w:val="Hyperlink"/>
          <w:rFonts w:eastAsia="DengXian" w:cstheme="minorHAnsi"/>
          <w:color w:val="auto"/>
          <w:u w:val="none"/>
        </w:rPr>
        <w:t>results</w:t>
      </w:r>
      <w:r w:rsidRPr="00D91DDA">
        <w:rPr>
          <w:rStyle w:val="Hyperlink"/>
          <w:rFonts w:eastAsia="DengXian" w:cstheme="minorHAnsi"/>
          <w:color w:val="auto"/>
          <w:u w:val="none"/>
        </w:rPr>
        <w:t xml:space="preserve"> for issuers even as tough times cause fixed income to falter. As for investors</w:t>
      </w:r>
      <w:r w:rsidR="00E01F14">
        <w:rPr>
          <w:rStyle w:val="Hyperlink"/>
          <w:rFonts w:eastAsia="DengXian" w:cstheme="minorHAnsi"/>
          <w:color w:val="auto"/>
          <w:u w:val="none"/>
        </w:rPr>
        <w:t>,</w:t>
      </w:r>
      <w:r w:rsidRPr="00D91DDA">
        <w:rPr>
          <w:rStyle w:val="Hyperlink"/>
          <w:rFonts w:eastAsia="DengXian" w:cstheme="minorHAnsi"/>
          <w:color w:val="auto"/>
          <w:u w:val="none"/>
        </w:rPr>
        <w:t xml:space="preserve"> they’re throwing themselves at </w:t>
      </w:r>
      <w:r w:rsidR="00E01F14">
        <w:rPr>
          <w:rStyle w:val="Hyperlink"/>
          <w:rFonts w:eastAsia="DengXian" w:cstheme="minorHAnsi"/>
          <w:color w:val="auto"/>
          <w:u w:val="none"/>
        </w:rPr>
        <w:t>labelled</w:t>
      </w:r>
      <w:r w:rsidRPr="00D91DDA">
        <w:rPr>
          <w:rStyle w:val="Hyperlink"/>
          <w:rFonts w:eastAsia="DengXian" w:cstheme="minorHAnsi"/>
          <w:color w:val="auto"/>
          <w:u w:val="none"/>
        </w:rPr>
        <w:t xml:space="preserve"> bonds which offer transparent debt fit for </w:t>
      </w:r>
      <w:r w:rsidR="00E01F14">
        <w:rPr>
          <w:rStyle w:val="Hyperlink"/>
          <w:rFonts w:eastAsia="DengXian" w:cstheme="minorHAnsi"/>
          <w:color w:val="auto"/>
          <w:u w:val="none"/>
        </w:rPr>
        <w:t>the</w:t>
      </w:r>
      <w:r w:rsidRPr="00D91DDA">
        <w:rPr>
          <w:rStyle w:val="Hyperlink"/>
          <w:rFonts w:eastAsia="DengXian" w:cstheme="minorHAnsi"/>
          <w:color w:val="auto"/>
          <w:u w:val="none"/>
        </w:rPr>
        <w:t xml:space="preserve"> </w:t>
      </w:r>
      <w:r w:rsidR="009252F2">
        <w:rPr>
          <w:rStyle w:val="Hyperlink"/>
          <w:rFonts w:eastAsia="DengXian" w:cstheme="minorHAnsi"/>
          <w:color w:val="auto"/>
          <w:u w:val="none"/>
        </w:rPr>
        <w:t>net-zero future</w:t>
      </w:r>
      <w:r w:rsidRPr="00D91DDA">
        <w:rPr>
          <w:rStyle w:val="Hyperlink"/>
          <w:rFonts w:eastAsia="DengXian" w:cstheme="minorHAnsi"/>
          <w:color w:val="auto"/>
          <w:u w:val="none"/>
        </w:rPr>
        <w:t xml:space="preserve">,” said </w:t>
      </w:r>
      <w:r w:rsidRPr="00D91DDA">
        <w:rPr>
          <w:rFonts w:eastAsia="DengXian" w:cstheme="minorHAnsi"/>
          <w:color w:val="222222"/>
          <w:shd w:val="clear" w:color="auto" w:fill="FFFFFF"/>
          <w:lang w:val="en-GB" w:eastAsia="en-GB"/>
        </w:rPr>
        <w:t>Sean Kidney, CEO, Climate Bonds Initiative.</w:t>
      </w:r>
    </w:p>
    <w:p w14:paraId="3177B597" w14:textId="77777777" w:rsidR="00D91DDA" w:rsidRPr="00D91DDA" w:rsidRDefault="00D91DDA" w:rsidP="00D91DDA">
      <w:pPr>
        <w:shd w:val="clear" w:color="auto" w:fill="FFFFFF"/>
        <w:spacing w:after="0" w:line="240" w:lineRule="auto"/>
        <w:rPr>
          <w:rStyle w:val="Hyperlink"/>
          <w:rFonts w:eastAsia="DengXian" w:cstheme="minorHAnsi"/>
          <w:color w:val="auto"/>
          <w:u w:val="none"/>
        </w:rPr>
      </w:pPr>
    </w:p>
    <w:p w14:paraId="7D3D3460" w14:textId="64EFD7B5" w:rsidR="009252F2" w:rsidRDefault="00D91DDA" w:rsidP="009252F2">
      <w:pPr>
        <w:shd w:val="clear" w:color="auto" w:fill="FFFFFF"/>
        <w:spacing w:after="0" w:line="240" w:lineRule="auto"/>
        <w:rPr>
          <w:rFonts w:eastAsia="DengXian" w:cstheme="minorHAnsi"/>
        </w:rPr>
      </w:pPr>
      <w:r w:rsidRPr="00D91DDA">
        <w:rPr>
          <w:rStyle w:val="Hyperlink"/>
          <w:rFonts w:eastAsia="DengXian" w:cstheme="minorHAnsi"/>
          <w:color w:val="auto"/>
          <w:u w:val="none"/>
        </w:rPr>
        <w:t xml:space="preserve">“Amidst a crucial decade for climate action, the labelled bond market really is the goose that’s laid the golden egg. With </w:t>
      </w:r>
      <w:r w:rsidR="009007B0">
        <w:rPr>
          <w:rStyle w:val="Hyperlink"/>
          <w:rFonts w:eastAsia="DengXian" w:cstheme="minorHAnsi"/>
          <w:color w:val="auto"/>
          <w:u w:val="none"/>
        </w:rPr>
        <w:t>USD</w:t>
      </w:r>
      <w:r w:rsidRPr="00D91DDA">
        <w:rPr>
          <w:rStyle w:val="Hyperlink"/>
          <w:rFonts w:eastAsia="DengXian" w:cstheme="minorHAnsi"/>
          <w:color w:val="auto"/>
          <w:u w:val="none"/>
        </w:rPr>
        <w:t>5trillion of annual investment needed by 2025 to avert environmental catastrophe, labelled bonds provide the catalyst to get capital to climate causes</w:t>
      </w:r>
      <w:r>
        <w:rPr>
          <w:rStyle w:val="Hyperlink"/>
          <w:rFonts w:eastAsia="DengXian" w:cstheme="minorHAnsi"/>
          <w:color w:val="auto"/>
          <w:u w:val="none"/>
        </w:rPr>
        <w:t>,</w:t>
      </w:r>
      <w:r w:rsidRPr="00D91DDA">
        <w:rPr>
          <w:rStyle w:val="Hyperlink"/>
          <w:rFonts w:eastAsia="DengXian" w:cstheme="minorHAnsi"/>
          <w:color w:val="auto"/>
          <w:u w:val="none"/>
        </w:rPr>
        <w:t>”</w:t>
      </w:r>
      <w:r>
        <w:rPr>
          <w:rStyle w:val="Hyperlink"/>
          <w:rFonts w:eastAsia="DengXian" w:cstheme="minorHAnsi"/>
          <w:color w:val="auto"/>
          <w:u w:val="none"/>
        </w:rPr>
        <w:t xml:space="preserve"> </w:t>
      </w:r>
      <w:r w:rsidR="009252F2">
        <w:rPr>
          <w:rStyle w:val="Hyperlink"/>
          <w:rFonts w:eastAsia="DengXian" w:cstheme="minorHAnsi"/>
          <w:color w:val="auto"/>
          <w:u w:val="none"/>
        </w:rPr>
        <w:t>Sean</w:t>
      </w:r>
      <w:r>
        <w:rPr>
          <w:rStyle w:val="Hyperlink"/>
          <w:rFonts w:eastAsia="DengXian" w:cstheme="minorHAnsi"/>
          <w:color w:val="auto"/>
          <w:u w:val="none"/>
        </w:rPr>
        <w:t xml:space="preserve"> added.</w:t>
      </w:r>
    </w:p>
    <w:p w14:paraId="1EAE17EE" w14:textId="77777777" w:rsidR="009252F2" w:rsidRDefault="009252F2" w:rsidP="00D91DDA">
      <w:pPr>
        <w:spacing w:before="120" w:after="120" w:line="240" w:lineRule="auto"/>
        <w:rPr>
          <w:rFonts w:eastAsia="DengXian" w:cstheme="minorHAnsi"/>
        </w:rPr>
      </w:pPr>
    </w:p>
    <w:p w14:paraId="677F01B2" w14:textId="320C588E" w:rsidR="00D91DDA" w:rsidRPr="00D91DDA" w:rsidRDefault="00D91DDA" w:rsidP="00D91DDA">
      <w:pPr>
        <w:spacing w:before="120" w:after="120" w:line="240" w:lineRule="auto"/>
        <w:rPr>
          <w:rFonts w:eastAsia="DengXian" w:cstheme="minorHAnsi"/>
          <w:bCs/>
        </w:rPr>
      </w:pPr>
      <w:r w:rsidRPr="00D91DDA">
        <w:rPr>
          <w:rFonts w:eastAsia="DengXian" w:cstheme="minorHAnsi"/>
          <w:bCs/>
        </w:rPr>
        <w:t>The report also</w:t>
      </w:r>
      <w:r w:rsidRPr="009252F2">
        <w:rPr>
          <w:rFonts w:eastAsia="DengXian" w:cstheme="minorHAnsi"/>
          <w:bCs/>
        </w:rPr>
        <w:t xml:space="preserve"> </w:t>
      </w:r>
      <w:r w:rsidRPr="00D91DDA">
        <w:rPr>
          <w:rFonts w:eastAsia="DengXian" w:cstheme="minorHAnsi"/>
          <w:bCs/>
        </w:rPr>
        <w:t>includes a</w:t>
      </w:r>
      <w:r w:rsidRPr="009252F2">
        <w:rPr>
          <w:rFonts w:eastAsia="DengXian" w:cstheme="minorHAnsi"/>
          <w:bCs/>
        </w:rPr>
        <w:t xml:space="preserve"> primary market pricing study of over 500 EUR and USD denominated bonds</w:t>
      </w:r>
      <w:r w:rsidRPr="00D91DDA">
        <w:rPr>
          <w:rFonts w:eastAsia="DengXian" w:cstheme="minorHAnsi"/>
          <w:bCs/>
        </w:rPr>
        <w:t xml:space="preserve"> priced between </w:t>
      </w:r>
      <w:r w:rsidRPr="009252F2">
        <w:rPr>
          <w:rFonts w:eastAsia="DengXian" w:cstheme="minorHAnsi"/>
          <w:bCs/>
        </w:rPr>
        <w:t>01 July and 31 December 2022, the</w:t>
      </w:r>
      <w:r w:rsidRPr="00D91DDA">
        <w:rPr>
          <w:rFonts w:eastAsia="DengXian" w:cstheme="minorHAnsi"/>
        </w:rPr>
        <w:t xml:space="preserve"> results of which indicate bonds bearing thematic labels price tighter to their respective yield curves compared to matched vanilla equivalents. </w:t>
      </w:r>
      <w:r w:rsidRPr="00D91DDA">
        <w:rPr>
          <w:rFonts w:eastAsia="DengXian" w:cstheme="minorHAnsi"/>
          <w:bCs/>
        </w:rPr>
        <w:t xml:space="preserve">While there was sparse evidence of any bonds pricing through their yield curves during this period, the analysis suggests that on average, bonds bearing thematic labels achieved better pricing than those that did not. </w:t>
      </w:r>
      <w:r w:rsidRPr="009252F2">
        <w:rPr>
          <w:rFonts w:eastAsia="DengXian" w:cstheme="minorHAnsi"/>
          <w:bCs/>
        </w:rPr>
        <w:t xml:space="preserve">Of all the labels, </w:t>
      </w:r>
      <w:r w:rsidR="009007B0" w:rsidRPr="009252F2">
        <w:rPr>
          <w:rFonts w:eastAsia="DengXian" w:cstheme="minorHAnsi"/>
          <w:bCs/>
        </w:rPr>
        <w:t>green bonds, the largest group in the sample,</w:t>
      </w:r>
      <w:r w:rsidRPr="009252F2">
        <w:rPr>
          <w:rFonts w:eastAsia="DengXian" w:cstheme="minorHAnsi"/>
          <w:bCs/>
        </w:rPr>
        <w:t xml:space="preserve"> exhibited the </w:t>
      </w:r>
      <w:r w:rsidR="009007B0" w:rsidRPr="009252F2">
        <w:rPr>
          <w:rFonts w:eastAsia="DengXian" w:cstheme="minorHAnsi"/>
          <w:bCs/>
        </w:rPr>
        <w:t>largest</w:t>
      </w:r>
      <w:r w:rsidRPr="009252F2">
        <w:rPr>
          <w:rFonts w:eastAsia="DengXian" w:cstheme="minorHAnsi"/>
          <w:bCs/>
        </w:rPr>
        <w:t xml:space="preserve"> benefits with an average spread of</w:t>
      </w:r>
      <w:r w:rsidR="009007B0" w:rsidRPr="009252F2">
        <w:rPr>
          <w:rFonts w:eastAsia="DengXian" w:cstheme="minorHAnsi"/>
          <w:bCs/>
        </w:rPr>
        <w:t xml:space="preserve"> 48bps compared to matched vanilla equivalents.</w:t>
      </w:r>
    </w:p>
    <w:p w14:paraId="52EF270F" w14:textId="77777777" w:rsidR="009252F2" w:rsidRDefault="009252F2" w:rsidP="009252F2">
      <w:pPr>
        <w:autoSpaceDE w:val="0"/>
        <w:autoSpaceDN w:val="0"/>
        <w:adjustRightInd w:val="0"/>
        <w:spacing w:after="0" w:line="240" w:lineRule="auto"/>
        <w:rPr>
          <w:rFonts w:eastAsia="DengXian" w:cstheme="minorHAnsi"/>
          <w:bCs/>
          <w:sz w:val="20"/>
          <w:szCs w:val="20"/>
        </w:rPr>
      </w:pPr>
    </w:p>
    <w:p w14:paraId="20142D2E" w14:textId="07D06532" w:rsidR="00911482" w:rsidRPr="00490D39" w:rsidRDefault="0060100C" w:rsidP="009252F2">
      <w:pPr>
        <w:autoSpaceDE w:val="0"/>
        <w:autoSpaceDN w:val="0"/>
        <w:adjustRightInd w:val="0"/>
        <w:spacing w:after="0" w:line="240" w:lineRule="auto"/>
        <w:jc w:val="center"/>
        <w:rPr>
          <w:rFonts w:eastAsia="DengXian" w:cstheme="minorHAnsi"/>
          <w:color w:val="222222"/>
          <w:sz w:val="20"/>
          <w:szCs w:val="20"/>
          <w:shd w:val="clear" w:color="auto" w:fill="FFFFFF"/>
          <w:lang w:val="en-GB" w:eastAsia="en-GB"/>
        </w:rPr>
      </w:pPr>
      <w:r w:rsidRPr="004703AB">
        <w:rPr>
          <w:rFonts w:eastAsia="DengXian" w:cstheme="minorHAnsi"/>
          <w:bCs/>
          <w:i/>
          <w:iCs/>
          <w:sz w:val="24"/>
          <w:szCs w:val="24"/>
        </w:rPr>
        <w:t xml:space="preserve">Read </w:t>
      </w:r>
      <w:r w:rsidR="00D91DDA">
        <w:rPr>
          <w:rFonts w:eastAsia="DengXian" w:cstheme="minorHAnsi"/>
          <w:bCs/>
          <w:i/>
          <w:iCs/>
          <w:sz w:val="24"/>
          <w:szCs w:val="24"/>
        </w:rPr>
        <w:t>the</w:t>
      </w:r>
      <w:r w:rsidR="00D91DDA" w:rsidRPr="004703AB">
        <w:rPr>
          <w:rFonts w:eastAsia="DengXian" w:cstheme="minorHAnsi"/>
          <w:bCs/>
          <w:i/>
          <w:iCs/>
          <w:sz w:val="24"/>
          <w:szCs w:val="24"/>
        </w:rPr>
        <w:t xml:space="preserve"> </w:t>
      </w:r>
      <w:r w:rsidR="00000000" w:rsidRPr="009252F2">
        <w:fldChar w:fldCharType="begin"/>
      </w:r>
      <w:r w:rsidR="009252F2">
        <w:instrText>HYPERLINK "https://www.climatebonds.net/resources/reports/green-bond-pricing-primary-market-h2-2022"</w:instrText>
      </w:r>
      <w:r w:rsidR="00000000" w:rsidRPr="009252F2">
        <w:fldChar w:fldCharType="separate"/>
      </w:r>
      <w:r w:rsidRPr="009252F2">
        <w:rPr>
          <w:rStyle w:val="Hyperlink"/>
          <w:bCs/>
          <w:i/>
          <w:iCs/>
          <w:sz w:val="24"/>
          <w:szCs w:val="24"/>
        </w:rPr>
        <w:t>report</w:t>
      </w:r>
      <w:r w:rsidR="00000000" w:rsidRPr="009252F2">
        <w:rPr>
          <w:rStyle w:val="Hyperlink"/>
          <w:bCs/>
          <w:i/>
          <w:iCs/>
          <w:sz w:val="24"/>
          <w:szCs w:val="24"/>
        </w:rPr>
        <w:fldChar w:fldCharType="end"/>
      </w:r>
      <w:r w:rsidRPr="004703AB">
        <w:rPr>
          <w:rFonts w:eastAsia="DengXian" w:cstheme="minorHAnsi"/>
          <w:bCs/>
          <w:i/>
          <w:iCs/>
          <w:sz w:val="24"/>
          <w:szCs w:val="24"/>
        </w:rPr>
        <w:t xml:space="preserve"> for a full breakdown </w:t>
      </w:r>
      <w:r w:rsidR="00D91DDA">
        <w:rPr>
          <w:rFonts w:eastAsia="DengXian" w:cstheme="minorHAnsi"/>
          <w:bCs/>
          <w:i/>
          <w:iCs/>
          <w:sz w:val="24"/>
          <w:szCs w:val="24"/>
        </w:rPr>
        <w:t>green and other labelled bond</w:t>
      </w:r>
      <w:r w:rsidR="00D91DDA" w:rsidRPr="00D91DDA">
        <w:rPr>
          <w:rFonts w:eastAsia="DengXian" w:cstheme="minorHAnsi"/>
          <w:bCs/>
          <w:i/>
          <w:iCs/>
          <w:sz w:val="24"/>
          <w:szCs w:val="24"/>
        </w:rPr>
        <w:t xml:space="preserve"> </w:t>
      </w:r>
      <w:r w:rsidR="00D91DDA" w:rsidRPr="004703AB">
        <w:rPr>
          <w:rFonts w:eastAsia="DengXian" w:cstheme="minorHAnsi"/>
          <w:bCs/>
          <w:i/>
          <w:iCs/>
          <w:sz w:val="24"/>
          <w:szCs w:val="24"/>
        </w:rPr>
        <w:t xml:space="preserve">of </w:t>
      </w:r>
      <w:r w:rsidR="00D91DDA">
        <w:rPr>
          <w:rFonts w:eastAsia="DengXian" w:cstheme="minorHAnsi"/>
          <w:bCs/>
          <w:i/>
          <w:iCs/>
          <w:sz w:val="24"/>
          <w:szCs w:val="24"/>
        </w:rPr>
        <w:t xml:space="preserve"> </w:t>
      </w:r>
      <w:r w:rsidR="00D91DDA" w:rsidRPr="004703AB">
        <w:rPr>
          <w:rFonts w:eastAsia="DengXian" w:cstheme="minorHAnsi"/>
          <w:bCs/>
          <w:i/>
          <w:iCs/>
          <w:sz w:val="24"/>
          <w:szCs w:val="24"/>
        </w:rPr>
        <w:t>pricing dynamic</w:t>
      </w:r>
      <w:r w:rsidR="00D91DDA">
        <w:rPr>
          <w:rFonts w:eastAsia="DengXian" w:cstheme="minorHAnsi"/>
          <w:bCs/>
          <w:i/>
          <w:iCs/>
          <w:sz w:val="24"/>
          <w:szCs w:val="24"/>
        </w:rPr>
        <w:t>s</w:t>
      </w:r>
    </w:p>
    <w:p w14:paraId="7C6B15F1" w14:textId="77777777" w:rsidR="00F37B5E" w:rsidRDefault="00F37B5E" w:rsidP="00911482">
      <w:pPr>
        <w:spacing w:after="0" w:line="240" w:lineRule="auto"/>
        <w:jc w:val="center"/>
        <w:rPr>
          <w:rFonts w:cstheme="minorHAnsi"/>
          <w:b/>
          <w:sz w:val="20"/>
          <w:szCs w:val="20"/>
        </w:rPr>
      </w:pPr>
    </w:p>
    <w:p w14:paraId="4115F4B5" w14:textId="6F6E7AD4" w:rsidR="00911482" w:rsidRPr="009252F2" w:rsidRDefault="00911482" w:rsidP="00911482">
      <w:pPr>
        <w:spacing w:after="0" w:line="240" w:lineRule="auto"/>
        <w:jc w:val="center"/>
        <w:rPr>
          <w:rFonts w:cstheme="minorHAnsi"/>
          <w:b/>
        </w:rPr>
      </w:pPr>
      <w:r w:rsidRPr="009252F2">
        <w:rPr>
          <w:rFonts w:cstheme="minorHAnsi"/>
          <w:b/>
        </w:rPr>
        <w:t>&lt;Ends&gt;</w:t>
      </w:r>
    </w:p>
    <w:p w14:paraId="0259AA09" w14:textId="77777777" w:rsidR="00911482" w:rsidRDefault="00911482" w:rsidP="00911482">
      <w:pPr>
        <w:spacing w:after="0" w:line="240" w:lineRule="auto"/>
        <w:rPr>
          <w:rFonts w:cstheme="minorHAnsi"/>
          <w:b/>
          <w:sz w:val="20"/>
          <w:szCs w:val="20"/>
        </w:rPr>
      </w:pPr>
    </w:p>
    <w:p w14:paraId="5C0E517B" w14:textId="77777777" w:rsidR="00A94F48" w:rsidRDefault="00A94F48" w:rsidP="00911482">
      <w:pPr>
        <w:spacing w:after="0" w:line="240" w:lineRule="auto"/>
        <w:rPr>
          <w:rFonts w:cstheme="minorHAnsi"/>
          <w:b/>
          <w:sz w:val="20"/>
          <w:szCs w:val="20"/>
        </w:rPr>
        <w:sectPr w:rsidR="00A94F48" w:rsidSect="00654396">
          <w:headerReference w:type="default" r:id="rId8"/>
          <w:footerReference w:type="default" r:id="rId9"/>
          <w:pgSz w:w="11906" w:h="16838"/>
          <w:pgMar w:top="1135" w:right="1440" w:bottom="142" w:left="1440" w:header="708" w:footer="708" w:gutter="0"/>
          <w:cols w:space="708"/>
          <w:docGrid w:linePitch="360"/>
        </w:sectPr>
      </w:pPr>
    </w:p>
    <w:p w14:paraId="1A0A8FA4" w14:textId="77777777" w:rsidR="00D91DDA" w:rsidRDefault="00D91DDA" w:rsidP="00911482">
      <w:pPr>
        <w:spacing w:after="0" w:line="240" w:lineRule="auto"/>
        <w:rPr>
          <w:rFonts w:cstheme="minorHAnsi"/>
          <w:b/>
          <w:sz w:val="20"/>
          <w:szCs w:val="20"/>
        </w:rPr>
      </w:pPr>
    </w:p>
    <w:p w14:paraId="659B2B11" w14:textId="376E3596" w:rsidR="00911482" w:rsidRDefault="00911482" w:rsidP="00911482">
      <w:pPr>
        <w:spacing w:after="0" w:line="240" w:lineRule="auto"/>
        <w:rPr>
          <w:rFonts w:cstheme="minorHAnsi"/>
          <w:b/>
          <w:sz w:val="20"/>
          <w:szCs w:val="20"/>
        </w:rPr>
      </w:pPr>
      <w:r w:rsidRPr="00911634">
        <w:rPr>
          <w:rFonts w:cstheme="minorHAnsi"/>
          <w:b/>
          <w:sz w:val="20"/>
          <w:szCs w:val="20"/>
        </w:rPr>
        <w:t xml:space="preserve">For more information: </w:t>
      </w:r>
    </w:p>
    <w:p w14:paraId="22CB9443" w14:textId="245E7936" w:rsidR="00490D39" w:rsidRPr="00490D39" w:rsidRDefault="00000000" w:rsidP="00490D39">
      <w:pPr>
        <w:spacing w:after="0" w:line="240" w:lineRule="auto"/>
        <w:rPr>
          <w:rFonts w:cstheme="minorHAnsi"/>
          <w:color w:val="222222"/>
          <w:sz w:val="20"/>
          <w:szCs w:val="20"/>
        </w:rPr>
      </w:pPr>
      <w:hyperlink r:id="rId10" w:history="1">
        <w:r w:rsidR="006B0B0E" w:rsidRPr="009252F2">
          <w:rPr>
            <w:rStyle w:val="Hyperlink"/>
            <w:rFonts w:cstheme="minorHAnsi"/>
            <w:sz w:val="20"/>
            <w:szCs w:val="20"/>
          </w:rPr>
          <w:t>Liam</w:t>
        </w:r>
      </w:hyperlink>
      <w:r w:rsidR="006B0B0E" w:rsidRPr="009252F2">
        <w:rPr>
          <w:rStyle w:val="Hyperlink"/>
          <w:rFonts w:cstheme="minorHAnsi"/>
          <w:sz w:val="20"/>
          <w:szCs w:val="20"/>
        </w:rPr>
        <w:t xml:space="preserve"> Jones</w:t>
      </w:r>
      <w:r w:rsidR="00490D39" w:rsidRPr="009252F2">
        <w:rPr>
          <w:rFonts w:cstheme="minorHAnsi"/>
          <w:color w:val="222222"/>
          <w:sz w:val="20"/>
          <w:szCs w:val="20"/>
        </w:rPr>
        <w:br/>
        <w:t>Communications &amp; Media</w:t>
      </w:r>
      <w:r w:rsidR="0066283F" w:rsidRPr="009252F2">
        <w:rPr>
          <w:rFonts w:cstheme="minorHAnsi"/>
          <w:color w:val="222222"/>
          <w:sz w:val="20"/>
          <w:szCs w:val="20"/>
        </w:rPr>
        <w:t xml:space="preserve"> Officer</w:t>
      </w:r>
    </w:p>
    <w:p w14:paraId="77039332" w14:textId="6A0CA4BA" w:rsidR="00490D39" w:rsidRPr="00490D39" w:rsidRDefault="00490D39" w:rsidP="00490D39">
      <w:pPr>
        <w:spacing w:after="0" w:line="240" w:lineRule="auto"/>
        <w:rPr>
          <w:rFonts w:cstheme="minorHAnsi"/>
          <w:color w:val="222222"/>
          <w:sz w:val="20"/>
          <w:szCs w:val="20"/>
        </w:rPr>
      </w:pPr>
      <w:r w:rsidRPr="00490D39">
        <w:rPr>
          <w:rFonts w:cstheme="minorHAnsi"/>
          <w:color w:val="222222"/>
          <w:sz w:val="20"/>
          <w:szCs w:val="20"/>
        </w:rPr>
        <w:t>Climate Bonds Initiative</w:t>
      </w:r>
    </w:p>
    <w:p w14:paraId="420E2632" w14:textId="575CC842" w:rsidR="00490D39" w:rsidRDefault="00490D39" w:rsidP="00490D39">
      <w:pPr>
        <w:spacing w:after="0" w:line="240" w:lineRule="auto"/>
        <w:jc w:val="both"/>
        <w:rPr>
          <w:rFonts w:cstheme="minorHAnsi"/>
          <w:b/>
          <w:color w:val="222222"/>
          <w:sz w:val="20"/>
          <w:szCs w:val="20"/>
        </w:rPr>
      </w:pPr>
      <w:r w:rsidRPr="00490D39">
        <w:rPr>
          <w:rFonts w:cstheme="minorHAnsi"/>
          <w:b/>
          <w:color w:val="222222"/>
          <w:sz w:val="20"/>
          <w:szCs w:val="20"/>
        </w:rPr>
        <w:t xml:space="preserve">+44 </w:t>
      </w:r>
      <w:r w:rsidR="0066283F">
        <w:rPr>
          <w:rFonts w:cstheme="minorHAnsi"/>
          <w:b/>
          <w:color w:val="222222"/>
          <w:sz w:val="20"/>
          <w:szCs w:val="20"/>
        </w:rPr>
        <w:t>7463733900</w:t>
      </w:r>
    </w:p>
    <w:p w14:paraId="3D881E53" w14:textId="77777777" w:rsidR="00D63A84" w:rsidRDefault="00D63A84" w:rsidP="00490D39">
      <w:pPr>
        <w:spacing w:after="0" w:line="240" w:lineRule="auto"/>
        <w:jc w:val="both"/>
        <w:rPr>
          <w:rFonts w:cstheme="minorHAnsi"/>
          <w:b/>
          <w:color w:val="222222"/>
          <w:sz w:val="20"/>
          <w:szCs w:val="20"/>
        </w:rPr>
      </w:pPr>
    </w:p>
    <w:p w14:paraId="188C3C06" w14:textId="370EAC03" w:rsidR="00D63A84" w:rsidRDefault="00D63A84" w:rsidP="00911482">
      <w:pPr>
        <w:spacing w:after="0" w:line="240" w:lineRule="auto"/>
      </w:pPr>
    </w:p>
    <w:p w14:paraId="48E9C63B" w14:textId="3317D92D" w:rsidR="00D63A84" w:rsidRDefault="00D63A84" w:rsidP="00911482">
      <w:pPr>
        <w:spacing w:after="0" w:line="240" w:lineRule="auto"/>
      </w:pPr>
    </w:p>
    <w:p w14:paraId="34F36D0A" w14:textId="77777777" w:rsidR="00D63A84" w:rsidRPr="00911634" w:rsidRDefault="00D63A84" w:rsidP="00911482">
      <w:pPr>
        <w:spacing w:after="0" w:line="240" w:lineRule="auto"/>
        <w:rPr>
          <w:rFonts w:cstheme="minorHAnsi"/>
          <w:b/>
          <w:sz w:val="20"/>
          <w:szCs w:val="20"/>
        </w:rPr>
      </w:pPr>
    </w:p>
    <w:p w14:paraId="2C58CA47" w14:textId="77777777" w:rsidR="00A94F48" w:rsidRDefault="00A94F48" w:rsidP="00911482">
      <w:pPr>
        <w:spacing w:after="0" w:line="240" w:lineRule="auto"/>
        <w:jc w:val="both"/>
        <w:rPr>
          <w:rFonts w:cstheme="minorHAnsi"/>
          <w:color w:val="0563C1" w:themeColor="hyperlink"/>
          <w:sz w:val="20"/>
          <w:szCs w:val="20"/>
          <w:u w:val="single"/>
        </w:rPr>
        <w:sectPr w:rsidR="00A94F48" w:rsidSect="001A7F2D">
          <w:type w:val="continuous"/>
          <w:pgSz w:w="11906" w:h="16838"/>
          <w:pgMar w:top="1135" w:right="1440" w:bottom="142" w:left="1440" w:header="708" w:footer="708" w:gutter="0"/>
          <w:cols w:num="2" w:space="708"/>
          <w:docGrid w:linePitch="360"/>
        </w:sectPr>
      </w:pPr>
    </w:p>
    <w:p w14:paraId="3078BCC0" w14:textId="77777777" w:rsidR="00D63A84" w:rsidRDefault="00000000" w:rsidP="00D63A84">
      <w:pPr>
        <w:spacing w:after="0" w:line="240" w:lineRule="auto"/>
        <w:jc w:val="both"/>
        <w:rPr>
          <w:rFonts w:ascii="Arial" w:hAnsi="Arial" w:cs="Arial"/>
          <w:color w:val="000000"/>
        </w:rPr>
      </w:pPr>
      <w:hyperlink r:id="rId11" w:history="1">
        <w:r w:rsidR="00D63A84" w:rsidRPr="007A6F4B">
          <w:rPr>
            <w:rStyle w:val="Hyperlink"/>
            <w:rFonts w:cstheme="minorHAnsi"/>
            <w:b/>
            <w:sz w:val="20"/>
            <w:szCs w:val="20"/>
          </w:rPr>
          <w:t>liam.jones@climatebonds.net</w:t>
        </w:r>
      </w:hyperlink>
      <w:r w:rsidR="00D63A84">
        <w:rPr>
          <w:rFonts w:cstheme="minorHAnsi"/>
          <w:b/>
          <w:sz w:val="20"/>
          <w:szCs w:val="20"/>
        </w:rPr>
        <w:t xml:space="preserve"> </w:t>
      </w:r>
      <w:r w:rsidR="00D63A84" w:rsidRPr="00490D39">
        <w:rPr>
          <w:rFonts w:cstheme="minorHAnsi"/>
          <w:b/>
          <w:color w:val="222222"/>
          <w:sz w:val="20"/>
          <w:szCs w:val="20"/>
        </w:rPr>
        <w:br/>
      </w:r>
    </w:p>
    <w:p w14:paraId="56165FCF" w14:textId="77777777" w:rsidR="00911482" w:rsidRDefault="00911482" w:rsidP="00911482">
      <w:pPr>
        <w:spacing w:after="0" w:line="240" w:lineRule="auto"/>
        <w:jc w:val="both"/>
        <w:rPr>
          <w:rFonts w:cstheme="minorHAnsi"/>
          <w:color w:val="0563C1" w:themeColor="hyperlink"/>
          <w:sz w:val="20"/>
          <w:szCs w:val="20"/>
          <w:u w:val="single"/>
        </w:rPr>
      </w:pPr>
    </w:p>
    <w:p w14:paraId="0146E891" w14:textId="367CD021" w:rsidR="0066283F" w:rsidRPr="009252F2" w:rsidRDefault="00911482" w:rsidP="00911482">
      <w:pPr>
        <w:spacing w:after="0" w:line="240" w:lineRule="auto"/>
        <w:jc w:val="both"/>
        <w:rPr>
          <w:b/>
          <w:bCs/>
          <w:sz w:val="20"/>
          <w:szCs w:val="20"/>
        </w:rPr>
      </w:pPr>
      <w:r w:rsidRPr="005240CF">
        <w:rPr>
          <w:b/>
          <w:bCs/>
        </w:rPr>
        <w:t>Acknowledgements:</w:t>
      </w:r>
      <w:r w:rsidRPr="00495BC1">
        <w:t xml:space="preserve"> </w:t>
      </w:r>
      <w:r w:rsidRPr="009252F2">
        <w:rPr>
          <w:sz w:val="20"/>
          <w:szCs w:val="20"/>
        </w:rPr>
        <w:t>Green Bond Pricing in the Primary Market H</w:t>
      </w:r>
      <w:r w:rsidR="006E19D9" w:rsidRPr="009252F2">
        <w:rPr>
          <w:sz w:val="20"/>
          <w:szCs w:val="20"/>
        </w:rPr>
        <w:t>2</w:t>
      </w:r>
      <w:r w:rsidR="005F6F35" w:rsidRPr="009252F2">
        <w:rPr>
          <w:sz w:val="20"/>
          <w:szCs w:val="20"/>
        </w:rPr>
        <w:t xml:space="preserve"> </w:t>
      </w:r>
      <w:r w:rsidRPr="009252F2">
        <w:rPr>
          <w:sz w:val="20"/>
          <w:szCs w:val="20"/>
        </w:rPr>
        <w:t>202</w:t>
      </w:r>
      <w:r w:rsidR="006B0B0E" w:rsidRPr="009252F2">
        <w:rPr>
          <w:sz w:val="20"/>
          <w:szCs w:val="20"/>
        </w:rPr>
        <w:t>2</w:t>
      </w:r>
      <w:r w:rsidRPr="009252F2">
        <w:rPr>
          <w:sz w:val="20"/>
          <w:szCs w:val="20"/>
        </w:rPr>
        <w:t xml:space="preserve"> has been produced </w:t>
      </w:r>
      <w:r w:rsidR="00D91DDA" w:rsidRPr="00D91DDA">
        <w:rPr>
          <w:sz w:val="20"/>
          <w:szCs w:val="20"/>
        </w:rPr>
        <w:t>collaboration with Maria Gonzalez, a PhD candidate at the University of Texas, San Antonio (USTA</w:t>
      </w:r>
      <w:r w:rsidR="00D91DDA">
        <w:rPr>
          <w:sz w:val="20"/>
          <w:szCs w:val="20"/>
        </w:rPr>
        <w:t>)</w:t>
      </w:r>
    </w:p>
    <w:p w14:paraId="46469D2B" w14:textId="77777777" w:rsidR="0066283F" w:rsidRDefault="0066283F" w:rsidP="00911482">
      <w:pPr>
        <w:spacing w:after="0" w:line="240" w:lineRule="auto"/>
        <w:jc w:val="both"/>
        <w:rPr>
          <w:b/>
          <w:bCs/>
        </w:rPr>
      </w:pPr>
    </w:p>
    <w:p w14:paraId="299B5C3C" w14:textId="6D49445F" w:rsidR="00D91DDA" w:rsidRDefault="00911482" w:rsidP="00911482">
      <w:pPr>
        <w:spacing w:after="0" w:line="240" w:lineRule="auto"/>
        <w:jc w:val="both"/>
        <w:rPr>
          <w:b/>
          <w:bCs/>
          <w:sz w:val="20"/>
          <w:szCs w:val="20"/>
        </w:rPr>
      </w:pPr>
      <w:r w:rsidRPr="00580596">
        <w:rPr>
          <w:b/>
          <w:bCs/>
        </w:rPr>
        <w:t xml:space="preserve">Notes for Journalists: </w:t>
      </w:r>
    </w:p>
    <w:p w14:paraId="337F7EC3" w14:textId="77777777" w:rsidR="00D91DDA" w:rsidRDefault="00D91DDA" w:rsidP="00911482">
      <w:pPr>
        <w:spacing w:after="0" w:line="240" w:lineRule="auto"/>
        <w:jc w:val="both"/>
        <w:rPr>
          <w:b/>
          <w:bCs/>
        </w:rPr>
      </w:pPr>
    </w:p>
    <w:p w14:paraId="23F3F7FE" w14:textId="436EE03F" w:rsidR="00911482" w:rsidRDefault="00911482" w:rsidP="00D91DDA">
      <w:pPr>
        <w:spacing w:after="0" w:line="240" w:lineRule="auto"/>
        <w:jc w:val="both"/>
        <w:rPr>
          <w:rFonts w:cstheme="minorHAnsi"/>
          <w:color w:val="222222"/>
          <w:sz w:val="20"/>
          <w:szCs w:val="20"/>
          <w:lang w:val="en-GB" w:eastAsia="en-GB"/>
        </w:rPr>
      </w:pPr>
      <w:r w:rsidRPr="00F544AE">
        <w:rPr>
          <w:b/>
          <w:bCs/>
          <w:sz w:val="20"/>
          <w:szCs w:val="20"/>
        </w:rPr>
        <w:t>About the Climate Bonds Initiative: </w:t>
      </w:r>
      <w:r w:rsidRPr="00F544AE">
        <w:rPr>
          <w:sz w:val="20"/>
          <w:szCs w:val="20"/>
        </w:rPr>
        <w:t>The Climate Bonds Initiative is an investor-focused not-for-profit, promoting large-scale investment in the low-carbon economy. More information on our website</w:t>
      </w:r>
      <w:r w:rsidRPr="00F544AE">
        <w:rPr>
          <w:rFonts w:cstheme="minorHAnsi"/>
          <w:color w:val="222222"/>
          <w:sz w:val="20"/>
          <w:szCs w:val="20"/>
          <w:lang w:val="en-GB" w:eastAsia="en-GB"/>
        </w:rPr>
        <w:t> </w:t>
      </w:r>
      <w:hyperlink r:id="rId12" w:history="1">
        <w:r w:rsidR="00450FA0" w:rsidRPr="00450FA0">
          <w:rPr>
            <w:rStyle w:val="Hyperlink"/>
            <w:rFonts w:cstheme="minorHAnsi"/>
            <w:sz w:val="20"/>
            <w:szCs w:val="20"/>
            <w:lang w:val="en-GB" w:eastAsia="en-GB"/>
          </w:rPr>
          <w:t>here</w:t>
        </w:r>
      </w:hyperlink>
      <w:r w:rsidR="00450FA0">
        <w:rPr>
          <w:rFonts w:cstheme="minorHAnsi"/>
          <w:color w:val="222222"/>
          <w:sz w:val="20"/>
          <w:szCs w:val="20"/>
          <w:lang w:val="en-GB" w:eastAsia="en-GB"/>
        </w:rPr>
        <w:t>.</w:t>
      </w:r>
    </w:p>
    <w:p w14:paraId="0F9DB631" w14:textId="77777777" w:rsidR="00D91DDA" w:rsidRDefault="00D91DDA" w:rsidP="009252F2">
      <w:pPr>
        <w:spacing w:after="0" w:line="240" w:lineRule="auto"/>
        <w:jc w:val="both"/>
        <w:rPr>
          <w:rFonts w:cstheme="minorHAnsi"/>
          <w:color w:val="222222"/>
          <w:sz w:val="20"/>
          <w:szCs w:val="20"/>
          <w:lang w:val="en-GB" w:eastAsia="en-GB"/>
        </w:rPr>
      </w:pPr>
    </w:p>
    <w:p w14:paraId="59A6CFC3" w14:textId="2ED0EE2B" w:rsidR="001A7F2D" w:rsidRPr="00117577" w:rsidRDefault="00911482" w:rsidP="00911482">
      <w:pPr>
        <w:spacing w:after="0" w:line="240" w:lineRule="auto"/>
        <w:jc w:val="both"/>
        <w:rPr>
          <w:sz w:val="20"/>
          <w:szCs w:val="20"/>
        </w:rPr>
      </w:pPr>
      <w:r w:rsidRPr="0087552A">
        <w:rPr>
          <w:b/>
          <w:bCs/>
          <w:sz w:val="20"/>
          <w:szCs w:val="20"/>
        </w:rPr>
        <w:t>Pricing series</w:t>
      </w:r>
      <w:r>
        <w:rPr>
          <w:b/>
          <w:bCs/>
          <w:sz w:val="20"/>
          <w:szCs w:val="20"/>
        </w:rPr>
        <w:t xml:space="preserve">: Climate Bonds pricing reports commenced in 2016 and have regularly been produced since. </w:t>
      </w:r>
      <w:r w:rsidR="00791080">
        <w:rPr>
          <w:sz w:val="20"/>
          <w:szCs w:val="20"/>
        </w:rPr>
        <w:t>P</w:t>
      </w:r>
      <w:r>
        <w:rPr>
          <w:sz w:val="20"/>
          <w:szCs w:val="20"/>
        </w:rPr>
        <w:t xml:space="preserve">revious reports can be found </w:t>
      </w:r>
      <w:hyperlink r:id="rId13" w:history="1">
        <w:r w:rsidR="00450FA0" w:rsidRPr="00450FA0">
          <w:rPr>
            <w:rStyle w:val="Hyperlink"/>
            <w:sz w:val="20"/>
            <w:szCs w:val="20"/>
          </w:rPr>
          <w:t>here</w:t>
        </w:r>
      </w:hyperlink>
      <w:r>
        <w:rPr>
          <w:sz w:val="20"/>
          <w:szCs w:val="20"/>
        </w:rPr>
        <w:t xml:space="preserve">. </w:t>
      </w:r>
      <w:r w:rsidR="0012778A" w:rsidRPr="009252F2">
        <w:rPr>
          <w:sz w:val="20"/>
          <w:szCs w:val="20"/>
        </w:rPr>
        <w:t xml:space="preserve">The </w:t>
      </w:r>
      <w:r w:rsidR="0012778A" w:rsidRPr="009252F2">
        <w:t>Green Bond Pricing in the Primary Market H2 2022 report,</w:t>
      </w:r>
      <w:r w:rsidR="0012778A" w:rsidRPr="009252F2">
        <w:rPr>
          <w:sz w:val="20"/>
          <w:szCs w:val="20"/>
        </w:rPr>
        <w:t xml:space="preserve"> released today, is the 15</w:t>
      </w:r>
      <w:r w:rsidR="0012778A" w:rsidRPr="009252F2">
        <w:rPr>
          <w:sz w:val="20"/>
          <w:szCs w:val="20"/>
          <w:vertAlign w:val="superscript"/>
        </w:rPr>
        <w:t>th</w:t>
      </w:r>
      <w:r w:rsidR="0012778A" w:rsidRPr="009252F2">
        <w:rPr>
          <w:sz w:val="20"/>
          <w:szCs w:val="20"/>
        </w:rPr>
        <w:t xml:space="preserve"> </w:t>
      </w:r>
      <w:r w:rsidR="0012778A" w:rsidRPr="009252F2">
        <w:t>iteration of a leading series analysing the pricing dynamics of green bonds, examining how these instruments offer pricing advantages for issuers and investors. These pricing benefits are projected to continue, given regulatory changes and an increased emphasis on responsible investment.</w:t>
      </w:r>
      <w:r w:rsidR="0012778A" w:rsidRPr="009252F2">
        <w:rPr>
          <w:i/>
          <w:iCs/>
        </w:rPr>
        <w:t xml:space="preserve">  </w:t>
      </w:r>
    </w:p>
    <w:p w14:paraId="62DEA653" w14:textId="77777777" w:rsidR="00B563CA" w:rsidRPr="00B563CA" w:rsidRDefault="00B563CA" w:rsidP="00B563CA">
      <w:pPr>
        <w:spacing w:before="100" w:beforeAutospacing="1" w:after="100" w:afterAutospacing="1" w:line="240" w:lineRule="auto"/>
        <w:ind w:left="360"/>
        <w:contextualSpacing/>
        <w:jc w:val="both"/>
        <w:rPr>
          <w:rFonts w:eastAsia="DengXian" w:cstheme="minorHAnsi"/>
          <w:color w:val="222222"/>
          <w:sz w:val="20"/>
          <w:szCs w:val="20"/>
          <w:shd w:val="clear" w:color="auto" w:fill="FFFFFF"/>
          <w:lang w:val="en-GB" w:eastAsia="en-GB"/>
        </w:rPr>
      </w:pPr>
    </w:p>
    <w:p w14:paraId="591B4FE5" w14:textId="492588C0" w:rsidR="00911482" w:rsidRPr="00B563CA" w:rsidRDefault="00911482" w:rsidP="004703AB">
      <w:pPr>
        <w:spacing w:before="100" w:beforeAutospacing="1" w:after="100" w:afterAutospacing="1" w:line="240" w:lineRule="auto"/>
        <w:contextualSpacing/>
        <w:jc w:val="both"/>
        <w:rPr>
          <w:rFonts w:eastAsia="DengXian" w:cstheme="minorHAnsi"/>
          <w:color w:val="222222"/>
          <w:sz w:val="20"/>
          <w:szCs w:val="20"/>
          <w:shd w:val="clear" w:color="auto" w:fill="FFFFFF"/>
          <w:lang w:val="en-GB" w:eastAsia="en-GB"/>
        </w:rPr>
      </w:pPr>
      <w:r w:rsidRPr="00B563CA">
        <w:rPr>
          <w:rFonts w:eastAsia="DengXian" w:cstheme="minorHAnsi"/>
          <w:b/>
          <w:bCs/>
          <w:color w:val="222222"/>
          <w:sz w:val="20"/>
          <w:szCs w:val="20"/>
          <w:shd w:val="clear" w:color="auto" w:fill="FFFFFF"/>
          <w:lang w:val="en-GB" w:eastAsia="en-GB"/>
        </w:rPr>
        <w:t>Methodology:</w:t>
      </w:r>
      <w:r w:rsidRPr="00B563CA">
        <w:rPr>
          <w:rFonts w:eastAsia="DengXian" w:cstheme="minorHAnsi"/>
          <w:color w:val="222222"/>
          <w:sz w:val="20"/>
          <w:szCs w:val="20"/>
          <w:shd w:val="clear" w:color="auto" w:fill="FFFFFF"/>
          <w:lang w:val="en-GB" w:eastAsia="en-GB"/>
        </w:rPr>
        <w:t xml:space="preserve"> </w:t>
      </w:r>
      <w:hyperlink r:id="rId14" w:history="1">
        <w:r w:rsidRPr="00B563CA">
          <w:rPr>
            <w:rStyle w:val="Hyperlink"/>
            <w:rFonts w:eastAsia="DengXian" w:cstheme="minorHAnsi"/>
            <w:sz w:val="20"/>
            <w:szCs w:val="20"/>
            <w:shd w:val="clear" w:color="auto" w:fill="FFFFFF"/>
            <w:lang w:val="en-GB" w:eastAsia="en-GB"/>
          </w:rPr>
          <w:t>This paper</w:t>
        </w:r>
      </w:hyperlink>
      <w:r w:rsidRPr="00B563CA">
        <w:rPr>
          <w:rFonts w:eastAsia="DengXian" w:cstheme="minorHAnsi"/>
          <w:color w:val="222222"/>
          <w:sz w:val="20"/>
          <w:szCs w:val="20"/>
          <w:shd w:val="clear" w:color="auto" w:fill="FFFFFF"/>
          <w:lang w:val="en-GB" w:eastAsia="en-GB"/>
        </w:rPr>
        <w:t xml:space="preserve"> includes labelled green bonds issued during H</w:t>
      </w:r>
      <w:r w:rsidR="00C93E22" w:rsidRPr="00B563CA">
        <w:rPr>
          <w:rFonts w:eastAsia="DengXian" w:cstheme="minorHAnsi"/>
          <w:color w:val="222222"/>
          <w:sz w:val="20"/>
          <w:szCs w:val="20"/>
          <w:shd w:val="clear" w:color="auto" w:fill="FFFFFF"/>
          <w:lang w:val="en-GB" w:eastAsia="en-GB"/>
        </w:rPr>
        <w:t>2</w:t>
      </w:r>
      <w:r w:rsidRPr="00B563CA">
        <w:rPr>
          <w:rFonts w:eastAsia="DengXian" w:cstheme="minorHAnsi"/>
          <w:color w:val="222222"/>
          <w:sz w:val="20"/>
          <w:szCs w:val="20"/>
          <w:shd w:val="clear" w:color="auto" w:fill="FFFFFF"/>
          <w:lang w:val="en-GB" w:eastAsia="en-GB"/>
        </w:rPr>
        <w:t xml:space="preserve"> 202</w:t>
      </w:r>
      <w:r w:rsidR="00FB17BA">
        <w:rPr>
          <w:rFonts w:eastAsia="DengXian" w:cstheme="minorHAnsi"/>
          <w:color w:val="222222"/>
          <w:sz w:val="20"/>
          <w:szCs w:val="20"/>
          <w:shd w:val="clear" w:color="auto" w:fill="FFFFFF"/>
          <w:lang w:val="en-GB" w:eastAsia="en-GB"/>
        </w:rPr>
        <w:t>2</w:t>
      </w:r>
      <w:r w:rsidRPr="00B563CA">
        <w:rPr>
          <w:rFonts w:eastAsia="DengXian" w:cstheme="minorHAnsi"/>
          <w:color w:val="222222"/>
          <w:sz w:val="20"/>
          <w:szCs w:val="20"/>
          <w:shd w:val="clear" w:color="auto" w:fill="FFFFFF"/>
          <w:lang w:val="en-GB" w:eastAsia="en-GB"/>
        </w:rPr>
        <w:t>. Labelled green bonds meeting the following specifications are included: </w:t>
      </w:r>
    </w:p>
    <w:p w14:paraId="07D4F3FD" w14:textId="427420C3" w:rsidR="00911482" w:rsidRPr="00C93E22" w:rsidRDefault="00911482" w:rsidP="00911482">
      <w:pPr>
        <w:pStyle w:val="ListParagraph"/>
        <w:numPr>
          <w:ilvl w:val="0"/>
          <w:numId w:val="3"/>
        </w:num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C93E22">
        <w:rPr>
          <w:rFonts w:eastAsia="DengXian" w:cstheme="minorHAnsi"/>
          <w:color w:val="222222"/>
          <w:sz w:val="20"/>
          <w:szCs w:val="20"/>
          <w:shd w:val="clear" w:color="auto" w:fill="FFFFFF"/>
          <w:lang w:val="en-GB" w:eastAsia="en-GB"/>
        </w:rPr>
        <w:t>Pricing date between </w:t>
      </w:r>
      <w:r w:rsidR="00FB17BA">
        <w:rPr>
          <w:rFonts w:eastAsia="DengXian" w:cstheme="minorHAnsi"/>
          <w:color w:val="222222"/>
          <w:sz w:val="20"/>
          <w:szCs w:val="20"/>
          <w:shd w:val="clear" w:color="auto" w:fill="FFFFFF"/>
          <w:lang w:val="en-GB" w:eastAsia="en-GB"/>
        </w:rPr>
        <w:t>01 July 2022</w:t>
      </w:r>
      <w:r w:rsidRPr="00C93E22">
        <w:rPr>
          <w:rFonts w:eastAsia="DengXian" w:cstheme="minorHAnsi"/>
          <w:color w:val="222222"/>
          <w:sz w:val="20"/>
          <w:szCs w:val="20"/>
          <w:shd w:val="clear" w:color="auto" w:fill="FFFFFF"/>
          <w:lang w:val="en-GB" w:eastAsia="en-GB"/>
        </w:rPr>
        <w:t xml:space="preserve"> and </w:t>
      </w:r>
      <w:r w:rsidR="00FB17BA">
        <w:rPr>
          <w:rFonts w:eastAsia="DengXian" w:cstheme="minorHAnsi"/>
          <w:color w:val="222222"/>
          <w:sz w:val="20"/>
          <w:szCs w:val="20"/>
          <w:shd w:val="clear" w:color="auto" w:fill="FFFFFF"/>
          <w:lang w:val="en-GB" w:eastAsia="en-GB"/>
        </w:rPr>
        <w:t>31 December 2022</w:t>
      </w:r>
    </w:p>
    <w:p w14:paraId="0FA0E4B0" w14:textId="77777777" w:rsidR="00911482" w:rsidRPr="0087552A" w:rsidRDefault="00911482" w:rsidP="00911482">
      <w:pPr>
        <w:pStyle w:val="ListParagraph"/>
        <w:numPr>
          <w:ilvl w:val="0"/>
          <w:numId w:val="3"/>
        </w:num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color w:val="222222"/>
          <w:sz w:val="20"/>
          <w:szCs w:val="20"/>
          <w:shd w:val="clear" w:color="auto" w:fill="FFFFFF"/>
          <w:lang w:val="en-GB" w:eastAsia="en-GB"/>
        </w:rPr>
        <w:t>Currency: EUR or USD</w:t>
      </w:r>
    </w:p>
    <w:p w14:paraId="2A71FB1F" w14:textId="7C19A62A" w:rsidR="00911482" w:rsidRPr="0087552A" w:rsidRDefault="00911482" w:rsidP="00911482">
      <w:pPr>
        <w:pStyle w:val="ListParagraph"/>
        <w:numPr>
          <w:ilvl w:val="0"/>
          <w:numId w:val="3"/>
        </w:num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color w:val="222222"/>
          <w:sz w:val="20"/>
          <w:szCs w:val="20"/>
          <w:shd w:val="clear" w:color="auto" w:fill="FFFFFF"/>
          <w:lang w:val="en-GB" w:eastAsia="en-GB"/>
        </w:rPr>
        <w:t xml:space="preserve">Benchmark size i.e., &gt;= </w:t>
      </w:r>
      <w:r w:rsidR="00FB17BA">
        <w:rPr>
          <w:rFonts w:eastAsia="DengXian" w:cstheme="minorHAnsi"/>
          <w:color w:val="222222"/>
          <w:sz w:val="20"/>
          <w:szCs w:val="20"/>
          <w:shd w:val="clear" w:color="auto" w:fill="FFFFFF"/>
          <w:lang w:val="en-GB" w:eastAsia="en-GB"/>
        </w:rPr>
        <w:t>USD475m</w:t>
      </w:r>
    </w:p>
    <w:p w14:paraId="71BB9D2A" w14:textId="77777777" w:rsidR="00911482" w:rsidRPr="0087552A" w:rsidRDefault="00911482" w:rsidP="00911482">
      <w:pPr>
        <w:pStyle w:val="ListParagraph"/>
        <w:numPr>
          <w:ilvl w:val="0"/>
          <w:numId w:val="3"/>
        </w:num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color w:val="222222"/>
          <w:sz w:val="20"/>
          <w:szCs w:val="20"/>
          <w:shd w:val="clear" w:color="auto" w:fill="FFFFFF"/>
          <w:lang w:val="en-GB" w:eastAsia="en-GB"/>
        </w:rPr>
        <w:t>Investment grade rated</w:t>
      </w:r>
    </w:p>
    <w:p w14:paraId="45894A58" w14:textId="77777777" w:rsidR="00911482" w:rsidRPr="0087552A" w:rsidRDefault="00911482" w:rsidP="00911482">
      <w:pPr>
        <w:pStyle w:val="ListParagraph"/>
        <w:numPr>
          <w:ilvl w:val="0"/>
          <w:numId w:val="3"/>
        </w:num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color w:val="222222"/>
          <w:sz w:val="20"/>
          <w:szCs w:val="20"/>
          <w:shd w:val="clear" w:color="auto" w:fill="FFFFFF"/>
          <w:lang w:val="en-GB" w:eastAsia="en-GB"/>
        </w:rPr>
        <w:t xml:space="preserve">Minimum term to maturity of three years at issue </w:t>
      </w:r>
    </w:p>
    <w:p w14:paraId="3EF5F600" w14:textId="77777777" w:rsidR="00911482" w:rsidRPr="0087552A" w:rsidRDefault="00911482" w:rsidP="00911482">
      <w:pPr>
        <w:pStyle w:val="ListParagraph"/>
        <w:numPr>
          <w:ilvl w:val="0"/>
          <w:numId w:val="3"/>
        </w:num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color w:val="222222"/>
          <w:sz w:val="20"/>
          <w:szCs w:val="20"/>
          <w:shd w:val="clear" w:color="auto" w:fill="FFFFFF"/>
          <w:lang w:val="en-GB" w:eastAsia="en-GB"/>
        </w:rPr>
        <w:t xml:space="preserve">Consistent with the Climate Bonds Taxonomy and included in the Climate Bonds Green Bond Database </w:t>
      </w:r>
    </w:p>
    <w:p w14:paraId="7CEB2448" w14:textId="77777777" w:rsidR="00911482" w:rsidRDefault="00911482" w:rsidP="00911482">
      <w:p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color w:val="222222"/>
          <w:sz w:val="20"/>
          <w:szCs w:val="20"/>
          <w:shd w:val="clear" w:color="auto" w:fill="FFFFFF"/>
          <w:lang w:val="en-GB" w:eastAsia="en-GB"/>
        </w:rPr>
        <w:t>Amortising, perpetual, floating-rate, and other non-vanilla structures were excluded. These parameters are designed to capture the most liquid portion of the market while not limiting the diversity of data. All historical data is based on asset swap spreads for EUR denominated bonds. USD bonds are compared to a US treasury curve. All historical data is from Refinitiv EIKON. </w:t>
      </w:r>
    </w:p>
    <w:p w14:paraId="63DBC688" w14:textId="01206604" w:rsidR="00911482" w:rsidRDefault="00911482" w:rsidP="00911482">
      <w:pPr>
        <w:spacing w:before="100" w:beforeAutospacing="1" w:after="100" w:afterAutospacing="1" w:line="240" w:lineRule="auto"/>
        <w:jc w:val="both"/>
        <w:rPr>
          <w:rFonts w:eastAsia="DengXian" w:cstheme="minorHAnsi"/>
          <w:color w:val="222222"/>
          <w:sz w:val="20"/>
          <w:szCs w:val="20"/>
          <w:shd w:val="clear" w:color="auto" w:fill="FFFFFF"/>
          <w:lang w:val="en-GB" w:eastAsia="en-GB"/>
        </w:rPr>
      </w:pPr>
      <w:r w:rsidRPr="0087552A">
        <w:rPr>
          <w:rFonts w:eastAsia="DengXian" w:cstheme="minorHAnsi"/>
          <w:b/>
          <w:bCs/>
          <w:color w:val="222222"/>
          <w:sz w:val="20"/>
          <w:szCs w:val="20"/>
          <w:shd w:val="clear" w:color="auto" w:fill="FFFFFF"/>
          <w:lang w:val="en-GB" w:eastAsia="en-GB"/>
        </w:rPr>
        <w:t>Comparable baskets</w:t>
      </w:r>
      <w:r w:rsidRPr="0087552A">
        <w:rPr>
          <w:rFonts w:eastAsia="DengXian" w:cstheme="minorHAnsi"/>
          <w:color w:val="222222"/>
          <w:sz w:val="20"/>
          <w:szCs w:val="20"/>
          <w:shd w:val="clear" w:color="auto" w:fill="FFFFFF"/>
          <w:lang w:val="en-GB" w:eastAsia="en-GB"/>
        </w:rPr>
        <w:t xml:space="preserve"> include bonds issued in the same quarter as the subject green bond. Comparable bonds must fit the parameters described above except that they are not </w:t>
      </w:r>
      <w:r w:rsidR="00FE2AAA" w:rsidRPr="0087552A">
        <w:rPr>
          <w:rFonts w:eastAsia="DengXian" w:cstheme="minorHAnsi"/>
          <w:color w:val="222222"/>
          <w:sz w:val="20"/>
          <w:szCs w:val="20"/>
          <w:shd w:val="clear" w:color="auto" w:fill="FFFFFF"/>
          <w:lang w:val="en-GB" w:eastAsia="en-GB"/>
        </w:rPr>
        <w:t>labelled,</w:t>
      </w:r>
      <w:r w:rsidRPr="0087552A">
        <w:rPr>
          <w:rFonts w:eastAsia="DengXian" w:cstheme="minorHAnsi"/>
          <w:color w:val="222222"/>
          <w:sz w:val="20"/>
          <w:szCs w:val="20"/>
          <w:shd w:val="clear" w:color="auto" w:fill="FFFFFF"/>
          <w:lang w:val="en-GB" w:eastAsia="en-GB"/>
        </w:rPr>
        <w:t xml:space="preserve"> and the use of proceeds is not explicitly green. Baskets comprise the closest possible matches based on the following considerations in order of priority: a) currency, b) market type (EM/DM/Sukuk), c) no other thematic label d) seniority e) maturity, f) credit rating and g) sector, among bonds issued in the same quarter. </w:t>
      </w:r>
    </w:p>
    <w:p w14:paraId="5EDEB7A3" w14:textId="5FCA7725" w:rsidR="00D91DDA" w:rsidRDefault="00911482" w:rsidP="009252F2">
      <w:pPr>
        <w:spacing w:before="100" w:beforeAutospacing="1" w:after="100" w:afterAutospacing="1" w:line="240" w:lineRule="auto"/>
        <w:jc w:val="both"/>
        <w:rPr>
          <w:iCs/>
          <w:sz w:val="20"/>
          <w:szCs w:val="20"/>
        </w:rPr>
      </w:pPr>
      <w:r w:rsidRPr="0087552A">
        <w:rPr>
          <w:rFonts w:eastAsia="DengXian" w:cstheme="minorHAnsi"/>
          <w:color w:val="222222"/>
          <w:sz w:val="20"/>
          <w:szCs w:val="20"/>
          <w:shd w:val="clear" w:color="auto" w:fill="FFFFFF"/>
          <w:lang w:val="en-GB" w:eastAsia="en-GB"/>
        </w:rPr>
        <w:t xml:space="preserve">If corresponding bonds cannot be found, best efforts are made to find suitable alternatives from the available sample. The resulting baskets area proxy for how the money could have been invested in the same quarter in which the green bond was issued. The number of bonds in each basket ranges from one to </w:t>
      </w:r>
      <w:r w:rsidR="002C676C">
        <w:rPr>
          <w:rFonts w:eastAsia="DengXian" w:cstheme="minorHAnsi"/>
          <w:color w:val="222222"/>
          <w:sz w:val="20"/>
          <w:szCs w:val="20"/>
          <w:shd w:val="clear" w:color="auto" w:fill="FFFFFF"/>
          <w:lang w:val="en-GB" w:eastAsia="en-GB"/>
        </w:rPr>
        <w:t>ten</w:t>
      </w:r>
      <w:r w:rsidRPr="0087552A">
        <w:rPr>
          <w:rFonts w:eastAsia="DengXian" w:cstheme="minorHAnsi"/>
          <w:color w:val="222222"/>
          <w:sz w:val="20"/>
          <w:szCs w:val="20"/>
          <w:shd w:val="clear" w:color="auto" w:fill="FFFFFF"/>
          <w:lang w:val="en-GB" w:eastAsia="en-GB"/>
        </w:rPr>
        <w:t xml:space="preserve"> bonds. </w:t>
      </w:r>
      <w:r w:rsidR="002C676C">
        <w:rPr>
          <w:rFonts w:eastAsia="DengXian" w:cstheme="minorHAnsi"/>
          <w:color w:val="222222"/>
          <w:sz w:val="20"/>
          <w:szCs w:val="20"/>
          <w:shd w:val="clear" w:color="auto" w:fill="FFFFFF"/>
          <w:lang w:val="en-GB" w:eastAsia="en-GB"/>
        </w:rPr>
        <w:t>Bonds</w:t>
      </w:r>
      <w:r w:rsidRPr="0087552A">
        <w:rPr>
          <w:rFonts w:eastAsia="DengXian" w:cstheme="minorHAnsi"/>
          <w:color w:val="222222"/>
          <w:sz w:val="20"/>
          <w:szCs w:val="20"/>
          <w:shd w:val="clear" w:color="auto" w:fill="FFFFFF"/>
          <w:lang w:val="en-GB" w:eastAsia="en-GB"/>
        </w:rPr>
        <w:t xml:space="preserve"> behave differently depending on when they are issued and</w:t>
      </w:r>
      <w:r>
        <w:rPr>
          <w:rFonts w:eastAsia="DengXian" w:cstheme="minorHAnsi"/>
          <w:color w:val="222222"/>
          <w:sz w:val="20"/>
          <w:szCs w:val="20"/>
          <w:shd w:val="clear" w:color="auto" w:fill="FFFFFF"/>
          <w:lang w:val="en-GB" w:eastAsia="en-GB"/>
        </w:rPr>
        <w:t xml:space="preserve"> </w:t>
      </w:r>
      <w:r w:rsidRPr="0087552A">
        <w:rPr>
          <w:rFonts w:eastAsia="DengXian" w:cstheme="minorHAnsi"/>
          <w:color w:val="222222"/>
          <w:sz w:val="20"/>
          <w:szCs w:val="20"/>
          <w:shd w:val="clear" w:color="auto" w:fill="FFFFFF"/>
          <w:lang w:val="en-GB" w:eastAsia="en-GB"/>
        </w:rPr>
        <w:t>that geo-political events can affect bond prices from one day to the next. This proxy was designed to circumvent the fact that vanilla bonds and green bonds with similar characteristics are rarely issued on the same day.</w:t>
      </w:r>
    </w:p>
    <w:p w14:paraId="7E4CB021" w14:textId="3B7A039B" w:rsidR="00911482" w:rsidRPr="00BA08D7" w:rsidRDefault="00911482" w:rsidP="00911482">
      <w:pPr>
        <w:autoSpaceDE w:val="0"/>
        <w:autoSpaceDN w:val="0"/>
        <w:adjustRightInd w:val="0"/>
        <w:spacing w:after="0" w:line="240" w:lineRule="auto"/>
        <w:rPr>
          <w:rFonts w:ascii="Whitney-Book" w:hAnsi="Whitney-Book" w:cs="Whitney-Book"/>
          <w:b/>
          <w:bCs/>
          <w:sz w:val="17"/>
          <w:szCs w:val="17"/>
          <w:lang w:val="en-US"/>
        </w:rPr>
      </w:pPr>
      <w:r w:rsidRPr="00BA08D7">
        <w:rPr>
          <w:b/>
          <w:bCs/>
          <w:iCs/>
          <w:sz w:val="20"/>
          <w:szCs w:val="20"/>
        </w:rPr>
        <w:t xml:space="preserve">Suggested citation: </w:t>
      </w:r>
    </w:p>
    <w:p w14:paraId="5F0DE795" w14:textId="1CEA3716" w:rsidR="00911482" w:rsidRPr="00BA08D7" w:rsidRDefault="00911482" w:rsidP="00BA08D7">
      <w:pPr>
        <w:rPr>
          <w:sz w:val="20"/>
          <w:szCs w:val="20"/>
        </w:rPr>
      </w:pPr>
      <w:r w:rsidRPr="00BA08D7">
        <w:rPr>
          <w:sz w:val="20"/>
          <w:szCs w:val="20"/>
        </w:rPr>
        <w:t>Harrison, C., Green Bond Pricing in the Primary Market H</w:t>
      </w:r>
      <w:r w:rsidR="00FB17BA">
        <w:rPr>
          <w:sz w:val="20"/>
          <w:szCs w:val="20"/>
        </w:rPr>
        <w:t>2</w:t>
      </w:r>
      <w:r w:rsidRPr="00BA08D7">
        <w:rPr>
          <w:sz w:val="20"/>
          <w:szCs w:val="20"/>
        </w:rPr>
        <w:t xml:space="preserve"> 202</w:t>
      </w:r>
      <w:r w:rsidR="002C676C">
        <w:rPr>
          <w:sz w:val="20"/>
          <w:szCs w:val="20"/>
        </w:rPr>
        <w:t>2</w:t>
      </w:r>
      <w:r w:rsidRPr="00BA08D7">
        <w:rPr>
          <w:sz w:val="20"/>
          <w:szCs w:val="20"/>
        </w:rPr>
        <w:t xml:space="preserve"> Climate Bonds Initiative, </w:t>
      </w:r>
      <w:r w:rsidR="00FB17BA">
        <w:rPr>
          <w:sz w:val="20"/>
          <w:szCs w:val="20"/>
        </w:rPr>
        <w:t>March 2023</w:t>
      </w:r>
    </w:p>
    <w:p w14:paraId="2C404D4B" w14:textId="39E1F2B7" w:rsidR="00D91DDA" w:rsidRDefault="00D91DDA" w:rsidP="00911482">
      <w:pPr>
        <w:spacing w:after="150" w:line="240" w:lineRule="auto"/>
        <w:jc w:val="both"/>
        <w:rPr>
          <w:rFonts w:eastAsia="Calibri" w:cs="Arial"/>
          <w:b/>
          <w:bCs/>
          <w:color w:val="333333"/>
          <w:sz w:val="20"/>
          <w:szCs w:val="20"/>
          <w:lang w:eastAsia="en-GB"/>
        </w:rPr>
      </w:pPr>
    </w:p>
    <w:p w14:paraId="2C29205C" w14:textId="77777777" w:rsidR="00D91DDA" w:rsidRPr="00BA08D7" w:rsidRDefault="00D91DDA" w:rsidP="00911482">
      <w:pPr>
        <w:spacing w:after="150" w:line="240" w:lineRule="auto"/>
        <w:jc w:val="both"/>
        <w:rPr>
          <w:rFonts w:eastAsia="Calibri" w:cs="Arial"/>
          <w:b/>
          <w:bCs/>
          <w:color w:val="333333"/>
          <w:sz w:val="20"/>
          <w:szCs w:val="20"/>
          <w:lang w:eastAsia="en-GB"/>
        </w:rPr>
      </w:pPr>
    </w:p>
    <w:p w14:paraId="227155F3" w14:textId="77777777" w:rsidR="00D91DDA" w:rsidRDefault="00D91DDA" w:rsidP="00911482">
      <w:pPr>
        <w:spacing w:after="150" w:line="240" w:lineRule="auto"/>
        <w:jc w:val="both"/>
        <w:rPr>
          <w:rFonts w:eastAsia="Calibri" w:cs="Arial"/>
          <w:b/>
          <w:bCs/>
          <w:color w:val="333333"/>
          <w:sz w:val="20"/>
          <w:szCs w:val="20"/>
          <w:lang w:val="en-GB" w:eastAsia="en-GB"/>
        </w:rPr>
      </w:pPr>
    </w:p>
    <w:p w14:paraId="7318FA58" w14:textId="79D60456" w:rsidR="00911482" w:rsidRPr="00A72849" w:rsidRDefault="00911482" w:rsidP="00911482">
      <w:pPr>
        <w:spacing w:after="150" w:line="240" w:lineRule="auto"/>
        <w:jc w:val="both"/>
        <w:rPr>
          <w:rFonts w:eastAsia="Calibri" w:cs="Tahoma"/>
          <w:color w:val="333333"/>
          <w:sz w:val="20"/>
          <w:szCs w:val="20"/>
          <w:lang w:val="en-GB" w:eastAsia="en-GB"/>
        </w:rPr>
      </w:pPr>
      <w:r w:rsidRPr="00A72849">
        <w:rPr>
          <w:rFonts w:eastAsia="Calibri" w:cs="Arial"/>
          <w:b/>
          <w:bCs/>
          <w:color w:val="333333"/>
          <w:sz w:val="20"/>
          <w:szCs w:val="20"/>
          <w:lang w:val="en-GB" w:eastAsia="en-GB"/>
        </w:rPr>
        <w:t>Disclaimer:</w:t>
      </w:r>
      <w:r w:rsidRPr="00A72849">
        <w:rPr>
          <w:rFonts w:eastAsia="Calibri" w:cs="Arial"/>
          <w:color w:val="333333"/>
          <w:sz w:val="20"/>
          <w:szCs w:val="20"/>
          <w:lang w:val="en-GB" w:eastAsia="en-GB"/>
        </w:rPr>
        <w:t xml:space="preserve"> The information contained in this communication does not constitute investment advice in any form and the Climate Bonds Initiative is not an investment adviser.  Any reference to a financial </w:t>
      </w:r>
      <w:r w:rsidRPr="00A72849">
        <w:rPr>
          <w:rFonts w:eastAsia="Calibri" w:cs="Arial"/>
          <w:noProof/>
          <w:color w:val="333333"/>
          <w:sz w:val="20"/>
          <w:szCs w:val="20"/>
          <w:lang w:val="en-GB" w:eastAsia="en-GB"/>
        </w:rPr>
        <w:t>organisation</w:t>
      </w:r>
      <w:r w:rsidRPr="00A72849">
        <w:rPr>
          <w:rFonts w:eastAsia="Calibri" w:cs="Arial"/>
          <w:color w:val="333333"/>
          <w:sz w:val="20"/>
          <w:szCs w:val="20"/>
          <w:lang w:val="en-GB" w:eastAsia="en-GB"/>
        </w:rPr>
        <w:t xml:space="preserve"> or debt instrument or investment product is for information purposes only. Links to external websites are for information purposes only. The Climate Bonds Initiative accepts no responsibility for </w:t>
      </w:r>
      <w:r w:rsidRPr="00A72849">
        <w:rPr>
          <w:rFonts w:eastAsia="Calibri" w:cs="Arial"/>
          <w:noProof/>
          <w:color w:val="333333"/>
          <w:sz w:val="20"/>
          <w:szCs w:val="20"/>
          <w:lang w:val="en-GB" w:eastAsia="en-GB"/>
        </w:rPr>
        <w:t>content</w:t>
      </w:r>
      <w:r w:rsidRPr="00A72849">
        <w:rPr>
          <w:rFonts w:eastAsia="Calibri" w:cs="Arial"/>
          <w:color w:val="333333"/>
          <w:sz w:val="20"/>
          <w:szCs w:val="20"/>
          <w:lang w:val="en-GB" w:eastAsia="en-GB"/>
        </w:rPr>
        <w:t xml:space="preserve"> on external websites.</w:t>
      </w:r>
    </w:p>
    <w:p w14:paraId="2048E70D" w14:textId="420BA68C" w:rsidR="00911482" w:rsidRPr="00A72849" w:rsidRDefault="00911482" w:rsidP="00911482">
      <w:pPr>
        <w:spacing w:after="150" w:line="240" w:lineRule="auto"/>
        <w:jc w:val="both"/>
        <w:rPr>
          <w:rFonts w:eastAsia="Calibri" w:cs="Tahoma"/>
          <w:color w:val="333333"/>
          <w:sz w:val="20"/>
          <w:szCs w:val="20"/>
          <w:lang w:val="en-GB" w:eastAsia="en-GB"/>
        </w:rPr>
      </w:pPr>
      <w:r w:rsidRPr="00A72849">
        <w:rPr>
          <w:rFonts w:eastAsia="Calibri" w:cs="Arial"/>
          <w:color w:val="333333"/>
          <w:sz w:val="20"/>
          <w:szCs w:val="20"/>
          <w:lang w:val="en-GB" w:eastAsia="en-GB"/>
        </w:rPr>
        <w:t xml:space="preserve">The Climate Bonds Initiative is not endorsing, </w:t>
      </w:r>
      <w:r w:rsidR="005F6F35" w:rsidRPr="00A72849">
        <w:rPr>
          <w:rFonts w:eastAsia="Calibri" w:cs="Arial"/>
          <w:color w:val="333333"/>
          <w:sz w:val="20"/>
          <w:szCs w:val="20"/>
          <w:lang w:val="en-GB" w:eastAsia="en-GB"/>
        </w:rPr>
        <w:t>recommending,</w:t>
      </w:r>
      <w:r w:rsidRPr="00A72849">
        <w:rPr>
          <w:rFonts w:eastAsia="Calibri" w:cs="Arial"/>
          <w:color w:val="333333"/>
          <w:sz w:val="20"/>
          <w:szCs w:val="20"/>
          <w:lang w:val="en-GB" w:eastAsia="en-GB"/>
        </w:rPr>
        <w:t xml:space="preserve"> or advising on the financial merits or otherwise of any debt instrument or investment product and no information within this communication should be taken as such, nor should any information in this communication be relied upon in making any investment decision. </w:t>
      </w:r>
    </w:p>
    <w:p w14:paraId="27D4928D" w14:textId="77777777" w:rsidR="00911482" w:rsidRPr="00A72849" w:rsidRDefault="00911482" w:rsidP="00911482">
      <w:pPr>
        <w:spacing w:after="150" w:line="240" w:lineRule="auto"/>
        <w:jc w:val="both"/>
        <w:rPr>
          <w:rFonts w:eastAsia="Calibri" w:cs="Tahoma"/>
          <w:color w:val="333333"/>
          <w:sz w:val="20"/>
          <w:szCs w:val="20"/>
          <w:lang w:val="en-GB" w:eastAsia="en-GB"/>
        </w:rPr>
      </w:pPr>
      <w:r w:rsidRPr="00A72849">
        <w:rPr>
          <w:rFonts w:eastAsia="Calibri" w:cs="Arial"/>
          <w:color w:val="333333"/>
          <w:sz w:val="20"/>
          <w:szCs w:val="20"/>
          <w:lang w:val="en-GB" w:eastAsia="en-GB"/>
        </w:rPr>
        <w:t xml:space="preserve">Certification under the Climate Bond Standard only reflects the climate attributes of the use of proceeds of a designated debt instrument. It does not reflect the </w:t>
      </w:r>
      <w:r w:rsidRPr="00A72849">
        <w:rPr>
          <w:rFonts w:eastAsia="Calibri" w:cs="Arial"/>
          <w:noProof/>
          <w:color w:val="333333"/>
          <w:sz w:val="20"/>
          <w:szCs w:val="20"/>
          <w:lang w:val="en-GB" w:eastAsia="en-GB"/>
        </w:rPr>
        <w:t>credit worthiness</w:t>
      </w:r>
      <w:r w:rsidRPr="00A72849">
        <w:rPr>
          <w:rFonts w:eastAsia="Calibri" w:cs="Arial"/>
          <w:color w:val="333333"/>
          <w:sz w:val="20"/>
          <w:szCs w:val="20"/>
          <w:lang w:val="en-GB" w:eastAsia="en-GB"/>
        </w:rPr>
        <w:t xml:space="preserve"> of the designated debt instrument, nor its compliance with national or international laws.</w:t>
      </w:r>
    </w:p>
    <w:p w14:paraId="2106E0E0" w14:textId="77777777" w:rsidR="00911482" w:rsidRDefault="00911482" w:rsidP="00911482">
      <w:pPr>
        <w:spacing w:after="0" w:line="240" w:lineRule="auto"/>
        <w:jc w:val="both"/>
        <w:rPr>
          <w:rFonts w:eastAsia="Calibri" w:cs="Arial"/>
          <w:color w:val="333333"/>
          <w:sz w:val="20"/>
          <w:szCs w:val="20"/>
          <w:lang w:val="en-GB" w:eastAsia="en-GB"/>
        </w:rPr>
      </w:pPr>
      <w:r w:rsidRPr="00A72849">
        <w:rPr>
          <w:rFonts w:eastAsia="Calibri" w:cs="Arial"/>
          <w:color w:val="333333"/>
          <w:sz w:val="20"/>
          <w:szCs w:val="20"/>
          <w:lang w:val="en-GB" w:eastAsia="en-GB"/>
        </w:rPr>
        <w:t xml:space="preserve">A decision to invest in anything is solely yours. The Climate Bonds Initiative accepts no liability of any kind, for any investment an individual or </w:t>
      </w:r>
      <w:r w:rsidRPr="00A72849">
        <w:rPr>
          <w:rFonts w:eastAsia="Calibri" w:cs="Arial"/>
          <w:noProof/>
          <w:color w:val="333333"/>
          <w:sz w:val="20"/>
          <w:szCs w:val="20"/>
          <w:lang w:val="en-GB" w:eastAsia="en-GB"/>
        </w:rPr>
        <w:t>organisation</w:t>
      </w:r>
      <w:r w:rsidRPr="00A72849">
        <w:rPr>
          <w:rFonts w:eastAsia="Calibri" w:cs="Arial"/>
          <w:color w:val="333333"/>
          <w:sz w:val="20"/>
          <w:szCs w:val="20"/>
          <w:lang w:val="en-GB" w:eastAsia="en-GB"/>
        </w:rPr>
        <w:t xml:space="preserve"> makes, nor for any investment made by third parties on behalf of an individual or </w:t>
      </w:r>
      <w:r w:rsidRPr="00A72849">
        <w:rPr>
          <w:rFonts w:eastAsia="Calibri" w:cs="Arial"/>
          <w:noProof/>
          <w:color w:val="333333"/>
          <w:sz w:val="20"/>
          <w:szCs w:val="20"/>
          <w:lang w:val="en-GB" w:eastAsia="en-GB"/>
        </w:rPr>
        <w:t>organisation</w:t>
      </w:r>
      <w:r w:rsidRPr="00A72849">
        <w:rPr>
          <w:rFonts w:eastAsia="Calibri" w:cs="Arial"/>
          <w:color w:val="333333"/>
          <w:sz w:val="20"/>
          <w:szCs w:val="20"/>
          <w:lang w:val="en-GB" w:eastAsia="en-GB"/>
        </w:rPr>
        <w:t>, based in whole or in part on any information contained within this, or any other Climate Bonds Initiative public communication.</w:t>
      </w:r>
    </w:p>
    <w:p w14:paraId="1FEDA6F3" w14:textId="77777777" w:rsidR="00911482" w:rsidRDefault="00911482" w:rsidP="00911482">
      <w:pPr>
        <w:spacing w:after="0" w:line="240" w:lineRule="auto"/>
        <w:jc w:val="both"/>
        <w:rPr>
          <w:rFonts w:eastAsia="Calibri" w:cs="Arial"/>
          <w:color w:val="333333"/>
          <w:sz w:val="20"/>
          <w:szCs w:val="20"/>
          <w:lang w:val="en-GB" w:eastAsia="en-GB"/>
        </w:rPr>
      </w:pPr>
    </w:p>
    <w:p w14:paraId="7B2A8D3E" w14:textId="77777777" w:rsidR="00911482" w:rsidRDefault="00911482" w:rsidP="00911482">
      <w:pPr>
        <w:spacing w:after="0" w:line="240" w:lineRule="auto"/>
        <w:jc w:val="both"/>
        <w:rPr>
          <w:rFonts w:eastAsia="Calibri" w:cs="Arial"/>
          <w:color w:val="333333"/>
          <w:sz w:val="20"/>
          <w:szCs w:val="20"/>
          <w:lang w:val="en-GB" w:eastAsia="en-GB"/>
        </w:rPr>
      </w:pPr>
    </w:p>
    <w:p w14:paraId="7E2DA600" w14:textId="77777777" w:rsidR="00646F94" w:rsidRDefault="00646F94"/>
    <w:sectPr w:rsidR="00646F94" w:rsidSect="00D46E8D">
      <w:type w:val="continuous"/>
      <w:pgSz w:w="11906" w:h="16838"/>
      <w:pgMar w:top="86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8941" w14:textId="77777777" w:rsidR="004861C7" w:rsidRDefault="004861C7">
      <w:pPr>
        <w:spacing w:after="0" w:line="240" w:lineRule="auto"/>
      </w:pPr>
      <w:r>
        <w:separator/>
      </w:r>
    </w:p>
  </w:endnote>
  <w:endnote w:type="continuationSeparator" w:id="0">
    <w:p w14:paraId="2941A0BC" w14:textId="77777777" w:rsidR="004861C7" w:rsidRDefault="0048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Whitney-Book">
    <w:altName w:val="Yu Gothic"/>
    <w:panose1 w:val="020B0604020202020204"/>
    <w:charset w:val="4D"/>
    <w:family w:val="auto"/>
    <w:notTrueType/>
    <w:pitch w:val="variable"/>
    <w:sig w:usb0="800000AF" w:usb1="5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360255"/>
      <w:docPartObj>
        <w:docPartGallery w:val="Page Numbers (Bottom of Page)"/>
        <w:docPartUnique/>
      </w:docPartObj>
    </w:sdtPr>
    <w:sdtEndPr>
      <w:rPr>
        <w:noProof/>
      </w:rPr>
    </w:sdtEndPr>
    <w:sdtContent>
      <w:p w14:paraId="310F6619" w14:textId="77777777" w:rsidR="00606152" w:rsidRDefault="00A92E0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6CC9610" w14:textId="77777777" w:rsidR="0060615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9568" w14:textId="77777777" w:rsidR="004861C7" w:rsidRDefault="004861C7">
      <w:pPr>
        <w:spacing w:after="0" w:line="240" w:lineRule="auto"/>
      </w:pPr>
      <w:r>
        <w:separator/>
      </w:r>
    </w:p>
  </w:footnote>
  <w:footnote w:type="continuationSeparator" w:id="0">
    <w:p w14:paraId="0E43F696" w14:textId="77777777" w:rsidR="004861C7" w:rsidRDefault="0048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899D" w14:textId="77777777" w:rsidR="003E68C4" w:rsidRDefault="00A92E0A" w:rsidP="003E68C4">
    <w:pPr>
      <w:pStyle w:val="Header"/>
      <w:jc w:val="right"/>
    </w:pPr>
    <w:r w:rsidRPr="00E01C27">
      <w:rPr>
        <w:noProof/>
        <w:sz w:val="20"/>
        <w:szCs w:val="20"/>
      </w:rPr>
      <w:drawing>
        <wp:anchor distT="0" distB="0" distL="114300" distR="114300" simplePos="0" relativeHeight="251659264" behindDoc="0" locked="0" layoutInCell="1" allowOverlap="1" wp14:anchorId="2FAA02F5" wp14:editId="28404EBE">
          <wp:simplePos x="0" y="0"/>
          <wp:positionH relativeFrom="column">
            <wp:posOffset>4162425</wp:posOffset>
          </wp:positionH>
          <wp:positionV relativeFrom="paragraph">
            <wp:posOffset>-114300</wp:posOffset>
          </wp:positionV>
          <wp:extent cx="1651000" cy="296221"/>
          <wp:effectExtent l="0" t="0" r="0" b="0"/>
          <wp:wrapSquare wrapText="bothSides"/>
          <wp:docPr id="1" name="Picture 1"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png"/>
                  <pic:cNvPicPr/>
                </pic:nvPicPr>
                <pic:blipFill>
                  <a:blip r:embed="rId1"/>
                  <a:stretch>
                    <a:fillRect/>
                  </a:stretch>
                </pic:blipFill>
                <pic:spPr>
                  <a:xfrm>
                    <a:off x="0" y="0"/>
                    <a:ext cx="1651000" cy="2962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B00"/>
    <w:multiLevelType w:val="hybridMultilevel"/>
    <w:tmpl w:val="862CBE1A"/>
    <w:lvl w:ilvl="0" w:tplc="04090001">
      <w:start w:val="1"/>
      <w:numFmt w:val="bullet"/>
      <w:lvlText w:val=""/>
      <w:lvlJc w:val="left"/>
      <w:pPr>
        <w:ind w:left="720" w:hanging="360"/>
      </w:pPr>
      <w:rPr>
        <w:rFonts w:ascii="Symbol" w:hAnsi="Symbol" w:hint="default"/>
      </w:rPr>
    </w:lvl>
    <w:lvl w:ilvl="1" w:tplc="0CC2CE7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0B47"/>
    <w:multiLevelType w:val="hybridMultilevel"/>
    <w:tmpl w:val="54B07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051C3"/>
    <w:multiLevelType w:val="hybridMultilevel"/>
    <w:tmpl w:val="EFA87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EF7455"/>
    <w:multiLevelType w:val="hybridMultilevel"/>
    <w:tmpl w:val="794A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DE36F8"/>
    <w:multiLevelType w:val="hybridMultilevel"/>
    <w:tmpl w:val="495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53719"/>
    <w:multiLevelType w:val="hybridMultilevel"/>
    <w:tmpl w:val="AAF4042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A21335"/>
    <w:multiLevelType w:val="hybridMultilevel"/>
    <w:tmpl w:val="1658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6242">
    <w:abstractNumId w:val="1"/>
  </w:num>
  <w:num w:numId="2" w16cid:durableId="1730179641">
    <w:abstractNumId w:val="3"/>
  </w:num>
  <w:num w:numId="3" w16cid:durableId="1014110488">
    <w:abstractNumId w:val="4"/>
  </w:num>
  <w:num w:numId="4" w16cid:durableId="690300322">
    <w:abstractNumId w:val="0"/>
  </w:num>
  <w:num w:numId="5" w16cid:durableId="1668288215">
    <w:abstractNumId w:val="2"/>
  </w:num>
  <w:num w:numId="6" w16cid:durableId="1319455785">
    <w:abstractNumId w:val="5"/>
  </w:num>
  <w:num w:numId="7" w16cid:durableId="1993634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82"/>
    <w:rsid w:val="000128BB"/>
    <w:rsid w:val="0003426D"/>
    <w:rsid w:val="000557EF"/>
    <w:rsid w:val="00071600"/>
    <w:rsid w:val="000738BB"/>
    <w:rsid w:val="000B6D67"/>
    <w:rsid w:val="000C0799"/>
    <w:rsid w:val="000C5073"/>
    <w:rsid w:val="000E6F0D"/>
    <w:rsid w:val="001079ED"/>
    <w:rsid w:val="001172A8"/>
    <w:rsid w:val="0012778A"/>
    <w:rsid w:val="00131AFB"/>
    <w:rsid w:val="00135F26"/>
    <w:rsid w:val="00136D86"/>
    <w:rsid w:val="00137609"/>
    <w:rsid w:val="00155A07"/>
    <w:rsid w:val="00177C9C"/>
    <w:rsid w:val="00180DD8"/>
    <w:rsid w:val="00196FB4"/>
    <w:rsid w:val="001A011F"/>
    <w:rsid w:val="001A16CF"/>
    <w:rsid w:val="001A3D85"/>
    <w:rsid w:val="001A7F2D"/>
    <w:rsid w:val="001B43A9"/>
    <w:rsid w:val="001C6290"/>
    <w:rsid w:val="001D5F94"/>
    <w:rsid w:val="00201CD9"/>
    <w:rsid w:val="00203B24"/>
    <w:rsid w:val="00213A7F"/>
    <w:rsid w:val="00226B59"/>
    <w:rsid w:val="002305AF"/>
    <w:rsid w:val="0024608C"/>
    <w:rsid w:val="00276AFE"/>
    <w:rsid w:val="0029505A"/>
    <w:rsid w:val="002950BA"/>
    <w:rsid w:val="00297A57"/>
    <w:rsid w:val="00297FB7"/>
    <w:rsid w:val="002B7E8F"/>
    <w:rsid w:val="002C1710"/>
    <w:rsid w:val="002C4460"/>
    <w:rsid w:val="002C4575"/>
    <w:rsid w:val="002C676C"/>
    <w:rsid w:val="002F3349"/>
    <w:rsid w:val="00305535"/>
    <w:rsid w:val="00353D7D"/>
    <w:rsid w:val="00362780"/>
    <w:rsid w:val="0038516B"/>
    <w:rsid w:val="003858AB"/>
    <w:rsid w:val="003C1D88"/>
    <w:rsid w:val="003E06CD"/>
    <w:rsid w:val="003F13C8"/>
    <w:rsid w:val="00450FA0"/>
    <w:rsid w:val="0046489D"/>
    <w:rsid w:val="004703AB"/>
    <w:rsid w:val="004731EA"/>
    <w:rsid w:val="00473EB2"/>
    <w:rsid w:val="00481C9B"/>
    <w:rsid w:val="004861C7"/>
    <w:rsid w:val="00490D39"/>
    <w:rsid w:val="004A5528"/>
    <w:rsid w:val="004A7F7B"/>
    <w:rsid w:val="004B6AD3"/>
    <w:rsid w:val="004C3C28"/>
    <w:rsid w:val="004E032C"/>
    <w:rsid w:val="004E6632"/>
    <w:rsid w:val="00504AA2"/>
    <w:rsid w:val="00520326"/>
    <w:rsid w:val="00534744"/>
    <w:rsid w:val="00537C39"/>
    <w:rsid w:val="00550B67"/>
    <w:rsid w:val="00563FC3"/>
    <w:rsid w:val="00567BF4"/>
    <w:rsid w:val="00571D7C"/>
    <w:rsid w:val="00576D3D"/>
    <w:rsid w:val="005817DA"/>
    <w:rsid w:val="00583F22"/>
    <w:rsid w:val="00596FA7"/>
    <w:rsid w:val="005A2308"/>
    <w:rsid w:val="005A2DA1"/>
    <w:rsid w:val="005B5947"/>
    <w:rsid w:val="005B7151"/>
    <w:rsid w:val="005C767C"/>
    <w:rsid w:val="005D3030"/>
    <w:rsid w:val="005E02F4"/>
    <w:rsid w:val="005E1442"/>
    <w:rsid w:val="005F6F35"/>
    <w:rsid w:val="005F7C45"/>
    <w:rsid w:val="0060100C"/>
    <w:rsid w:val="00624162"/>
    <w:rsid w:val="00646F94"/>
    <w:rsid w:val="0066283F"/>
    <w:rsid w:val="006A5E4C"/>
    <w:rsid w:val="006B0B0E"/>
    <w:rsid w:val="006E19D9"/>
    <w:rsid w:val="007025DD"/>
    <w:rsid w:val="00722F8A"/>
    <w:rsid w:val="00771E1D"/>
    <w:rsid w:val="0077246C"/>
    <w:rsid w:val="00780C17"/>
    <w:rsid w:val="007856DF"/>
    <w:rsid w:val="00791080"/>
    <w:rsid w:val="00794F6C"/>
    <w:rsid w:val="007B05C8"/>
    <w:rsid w:val="007B27C0"/>
    <w:rsid w:val="007D1446"/>
    <w:rsid w:val="007D178F"/>
    <w:rsid w:val="007D7084"/>
    <w:rsid w:val="007E7E18"/>
    <w:rsid w:val="007F49F2"/>
    <w:rsid w:val="00822EE8"/>
    <w:rsid w:val="0082305F"/>
    <w:rsid w:val="00824BB4"/>
    <w:rsid w:val="00833A58"/>
    <w:rsid w:val="0084692F"/>
    <w:rsid w:val="0085697A"/>
    <w:rsid w:val="00870D92"/>
    <w:rsid w:val="00872601"/>
    <w:rsid w:val="00873093"/>
    <w:rsid w:val="008B024C"/>
    <w:rsid w:val="009007B0"/>
    <w:rsid w:val="00900DFF"/>
    <w:rsid w:val="00907F7A"/>
    <w:rsid w:val="00911482"/>
    <w:rsid w:val="0091672F"/>
    <w:rsid w:val="009247B2"/>
    <w:rsid w:val="00924FC2"/>
    <w:rsid w:val="009252F2"/>
    <w:rsid w:val="00932095"/>
    <w:rsid w:val="00963C32"/>
    <w:rsid w:val="009713D7"/>
    <w:rsid w:val="00996FBF"/>
    <w:rsid w:val="009A38F0"/>
    <w:rsid w:val="009A7065"/>
    <w:rsid w:val="009B2C95"/>
    <w:rsid w:val="009D690E"/>
    <w:rsid w:val="009D7798"/>
    <w:rsid w:val="00A50E86"/>
    <w:rsid w:val="00A732F0"/>
    <w:rsid w:val="00A92E0A"/>
    <w:rsid w:val="00A94F48"/>
    <w:rsid w:val="00AA1050"/>
    <w:rsid w:val="00AB4FA2"/>
    <w:rsid w:val="00B24817"/>
    <w:rsid w:val="00B37FA5"/>
    <w:rsid w:val="00B54501"/>
    <w:rsid w:val="00B563CA"/>
    <w:rsid w:val="00B8653C"/>
    <w:rsid w:val="00B86E7F"/>
    <w:rsid w:val="00BA08D7"/>
    <w:rsid w:val="00BB6C74"/>
    <w:rsid w:val="00BD7D5C"/>
    <w:rsid w:val="00BE2899"/>
    <w:rsid w:val="00BE4D09"/>
    <w:rsid w:val="00BE7AF8"/>
    <w:rsid w:val="00BF1D39"/>
    <w:rsid w:val="00C07983"/>
    <w:rsid w:val="00C40D3C"/>
    <w:rsid w:val="00C41BD6"/>
    <w:rsid w:val="00C8711F"/>
    <w:rsid w:val="00C93E22"/>
    <w:rsid w:val="00CA68E9"/>
    <w:rsid w:val="00CB5A21"/>
    <w:rsid w:val="00CC2C91"/>
    <w:rsid w:val="00CF3CA7"/>
    <w:rsid w:val="00D14F38"/>
    <w:rsid w:val="00D27179"/>
    <w:rsid w:val="00D46E8D"/>
    <w:rsid w:val="00D62F06"/>
    <w:rsid w:val="00D63A84"/>
    <w:rsid w:val="00D63B63"/>
    <w:rsid w:val="00D65376"/>
    <w:rsid w:val="00D7115F"/>
    <w:rsid w:val="00D8604F"/>
    <w:rsid w:val="00D91DDA"/>
    <w:rsid w:val="00DA1D92"/>
    <w:rsid w:val="00DB135F"/>
    <w:rsid w:val="00DC6004"/>
    <w:rsid w:val="00E01F14"/>
    <w:rsid w:val="00E16373"/>
    <w:rsid w:val="00E454E9"/>
    <w:rsid w:val="00E67755"/>
    <w:rsid w:val="00EB6E2C"/>
    <w:rsid w:val="00EE05A8"/>
    <w:rsid w:val="00EE1A3A"/>
    <w:rsid w:val="00EE5914"/>
    <w:rsid w:val="00EE6A12"/>
    <w:rsid w:val="00F103F2"/>
    <w:rsid w:val="00F24BD9"/>
    <w:rsid w:val="00F33573"/>
    <w:rsid w:val="00F37B5E"/>
    <w:rsid w:val="00F61DCE"/>
    <w:rsid w:val="00F644CC"/>
    <w:rsid w:val="00FA56DA"/>
    <w:rsid w:val="00FA5830"/>
    <w:rsid w:val="00FB17BA"/>
    <w:rsid w:val="00FB3887"/>
    <w:rsid w:val="00FC5545"/>
    <w:rsid w:val="00FC7281"/>
    <w:rsid w:val="00FD3F21"/>
    <w:rsid w:val="00FD416A"/>
    <w:rsid w:val="00FE2894"/>
    <w:rsid w:val="00FE2A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4053"/>
  <w15:chartTrackingRefBased/>
  <w15:docId w15:val="{6A63C068-1417-0645-A1AC-6DB0F2C9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528"/>
    <w:pPr>
      <w:spacing w:after="200" w:line="276" w:lineRule="auto"/>
    </w:pPr>
    <w:rPr>
      <w:sz w:val="22"/>
      <w:szCs w:val="22"/>
      <w:lang w:val="en-AU" w:eastAsia="en-AU"/>
    </w:rPr>
  </w:style>
  <w:style w:type="paragraph" w:styleId="Heading3">
    <w:name w:val="heading 3"/>
    <w:basedOn w:val="Normal"/>
    <w:next w:val="Normal"/>
    <w:link w:val="Heading3Char"/>
    <w:uiPriority w:val="9"/>
    <w:unhideWhenUsed/>
    <w:qFormat/>
    <w:rsid w:val="004A5528"/>
    <w:pPr>
      <w:keepNext/>
      <w:keepLines/>
      <w:spacing w:before="240" w:after="120" w:line="240" w:lineRule="exact"/>
      <w:outlineLvl w:val="2"/>
    </w:pPr>
    <w:rPr>
      <w:rFonts w:eastAsiaTheme="majorEastAsia" w:cstheme="majorBidi"/>
      <w:b/>
      <w:color w:val="4472C4" w:themeColor="accent1"/>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482"/>
    <w:rPr>
      <w:color w:val="0563C1" w:themeColor="hyperlink"/>
      <w:u w:val="single"/>
    </w:rPr>
  </w:style>
  <w:style w:type="paragraph" w:styleId="Header">
    <w:name w:val="header"/>
    <w:basedOn w:val="Normal"/>
    <w:link w:val="HeaderChar"/>
    <w:uiPriority w:val="99"/>
    <w:unhideWhenUsed/>
    <w:rsid w:val="0091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482"/>
    <w:rPr>
      <w:sz w:val="22"/>
      <w:szCs w:val="22"/>
      <w:lang w:val="en-AU" w:eastAsia="en-AU"/>
    </w:rPr>
  </w:style>
  <w:style w:type="paragraph" w:styleId="Footer">
    <w:name w:val="footer"/>
    <w:basedOn w:val="Normal"/>
    <w:link w:val="FooterChar"/>
    <w:uiPriority w:val="99"/>
    <w:unhideWhenUsed/>
    <w:rsid w:val="0091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482"/>
    <w:rPr>
      <w:sz w:val="22"/>
      <w:szCs w:val="22"/>
      <w:lang w:val="en-AU" w:eastAsia="en-AU"/>
    </w:rPr>
  </w:style>
  <w:style w:type="paragraph" w:styleId="ListParagraph">
    <w:name w:val="List Paragraph"/>
    <w:basedOn w:val="Normal"/>
    <w:uiPriority w:val="34"/>
    <w:qFormat/>
    <w:rsid w:val="00911482"/>
    <w:pPr>
      <w:ind w:left="720"/>
      <w:contextualSpacing/>
    </w:pPr>
  </w:style>
  <w:style w:type="character" w:styleId="FollowedHyperlink">
    <w:name w:val="FollowedHyperlink"/>
    <w:basedOn w:val="DefaultParagraphFont"/>
    <w:uiPriority w:val="99"/>
    <w:semiHidden/>
    <w:unhideWhenUsed/>
    <w:rsid w:val="00911482"/>
    <w:rPr>
      <w:color w:val="954F72" w:themeColor="followedHyperlink"/>
      <w:u w:val="single"/>
    </w:rPr>
  </w:style>
  <w:style w:type="character" w:styleId="CommentReference">
    <w:name w:val="annotation reference"/>
    <w:basedOn w:val="DefaultParagraphFont"/>
    <w:uiPriority w:val="99"/>
    <w:semiHidden/>
    <w:unhideWhenUsed/>
    <w:rsid w:val="00BA08D7"/>
    <w:rPr>
      <w:sz w:val="16"/>
      <w:szCs w:val="16"/>
    </w:rPr>
  </w:style>
  <w:style w:type="paragraph" w:styleId="CommentText">
    <w:name w:val="annotation text"/>
    <w:basedOn w:val="Normal"/>
    <w:link w:val="CommentTextChar"/>
    <w:uiPriority w:val="99"/>
    <w:semiHidden/>
    <w:unhideWhenUsed/>
    <w:rsid w:val="00BA08D7"/>
    <w:pPr>
      <w:spacing w:line="240" w:lineRule="auto"/>
    </w:pPr>
    <w:rPr>
      <w:sz w:val="20"/>
      <w:szCs w:val="20"/>
    </w:rPr>
  </w:style>
  <w:style w:type="character" w:customStyle="1" w:styleId="CommentTextChar">
    <w:name w:val="Comment Text Char"/>
    <w:basedOn w:val="DefaultParagraphFont"/>
    <w:link w:val="CommentText"/>
    <w:uiPriority w:val="99"/>
    <w:semiHidden/>
    <w:rsid w:val="00BA08D7"/>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BA08D7"/>
    <w:rPr>
      <w:b/>
      <w:bCs/>
    </w:rPr>
  </w:style>
  <w:style w:type="character" w:customStyle="1" w:styleId="CommentSubjectChar">
    <w:name w:val="Comment Subject Char"/>
    <w:basedOn w:val="CommentTextChar"/>
    <w:link w:val="CommentSubject"/>
    <w:uiPriority w:val="99"/>
    <w:semiHidden/>
    <w:rsid w:val="00BA08D7"/>
    <w:rPr>
      <w:b/>
      <w:bCs/>
      <w:sz w:val="20"/>
      <w:szCs w:val="20"/>
      <w:lang w:val="en-AU" w:eastAsia="en-AU"/>
    </w:rPr>
  </w:style>
  <w:style w:type="character" w:styleId="UnresolvedMention">
    <w:name w:val="Unresolved Mention"/>
    <w:basedOn w:val="DefaultParagraphFont"/>
    <w:uiPriority w:val="99"/>
    <w:semiHidden/>
    <w:unhideWhenUsed/>
    <w:rsid w:val="00BA08D7"/>
    <w:rPr>
      <w:color w:val="605E5C"/>
      <w:shd w:val="clear" w:color="auto" w:fill="E1DFDD"/>
    </w:rPr>
  </w:style>
  <w:style w:type="paragraph" w:styleId="Revision">
    <w:name w:val="Revision"/>
    <w:hidden/>
    <w:uiPriority w:val="99"/>
    <w:semiHidden/>
    <w:rsid w:val="00C8711F"/>
    <w:rPr>
      <w:sz w:val="22"/>
      <w:szCs w:val="22"/>
      <w:lang w:val="en-AU" w:eastAsia="en-AU"/>
    </w:rPr>
  </w:style>
  <w:style w:type="paragraph" w:styleId="NormalWeb">
    <w:name w:val="Normal (Web)"/>
    <w:basedOn w:val="Normal"/>
    <w:uiPriority w:val="99"/>
    <w:semiHidden/>
    <w:unhideWhenUsed/>
    <w:rsid w:val="00F24B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7D1446"/>
    <w:pPr>
      <w:spacing w:after="0" w:line="240" w:lineRule="auto"/>
    </w:pPr>
    <w:rPr>
      <w:sz w:val="20"/>
      <w:szCs w:val="20"/>
    </w:rPr>
  </w:style>
  <w:style w:type="character" w:customStyle="1" w:styleId="EndnoteTextChar">
    <w:name w:val="Endnote Text Char"/>
    <w:basedOn w:val="DefaultParagraphFont"/>
    <w:link w:val="EndnoteText"/>
    <w:uiPriority w:val="99"/>
    <w:rsid w:val="007D1446"/>
    <w:rPr>
      <w:sz w:val="20"/>
      <w:szCs w:val="20"/>
      <w:lang w:val="en-AU" w:eastAsia="en-AU"/>
    </w:rPr>
  </w:style>
  <w:style w:type="character" w:styleId="EndnoteReference">
    <w:name w:val="endnote reference"/>
    <w:basedOn w:val="DefaultParagraphFont"/>
    <w:uiPriority w:val="99"/>
    <w:semiHidden/>
    <w:unhideWhenUsed/>
    <w:rsid w:val="007D1446"/>
    <w:rPr>
      <w:vertAlign w:val="superscript"/>
    </w:rPr>
  </w:style>
  <w:style w:type="character" w:customStyle="1" w:styleId="Heading3Char">
    <w:name w:val="Heading 3 Char"/>
    <w:basedOn w:val="DefaultParagraphFont"/>
    <w:link w:val="Heading3"/>
    <w:uiPriority w:val="9"/>
    <w:rsid w:val="004A5528"/>
    <w:rPr>
      <w:rFonts w:eastAsiaTheme="majorEastAsia" w:cstheme="majorBidi"/>
      <w:b/>
      <w:color w:val="4472C4" w:themeColor="accent1"/>
      <w:lang w:eastAsia="en-US"/>
    </w:rPr>
  </w:style>
  <w:style w:type="character" w:customStyle="1" w:styleId="marknvnb3zow6">
    <w:name w:val="marknvnb3zow6"/>
    <w:basedOn w:val="DefaultParagraphFont"/>
    <w:rsid w:val="00FB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0271">
      <w:bodyDiv w:val="1"/>
      <w:marLeft w:val="0"/>
      <w:marRight w:val="0"/>
      <w:marTop w:val="0"/>
      <w:marBottom w:val="0"/>
      <w:divBdr>
        <w:top w:val="none" w:sz="0" w:space="0" w:color="auto"/>
        <w:left w:val="none" w:sz="0" w:space="0" w:color="auto"/>
        <w:bottom w:val="none" w:sz="0" w:space="0" w:color="auto"/>
        <w:right w:val="none" w:sz="0" w:space="0" w:color="auto"/>
      </w:divBdr>
    </w:div>
    <w:div w:id="365915260">
      <w:bodyDiv w:val="1"/>
      <w:marLeft w:val="0"/>
      <w:marRight w:val="0"/>
      <w:marTop w:val="0"/>
      <w:marBottom w:val="0"/>
      <w:divBdr>
        <w:top w:val="none" w:sz="0" w:space="0" w:color="auto"/>
        <w:left w:val="none" w:sz="0" w:space="0" w:color="auto"/>
        <w:bottom w:val="none" w:sz="0" w:space="0" w:color="auto"/>
        <w:right w:val="none" w:sz="0" w:space="0" w:color="auto"/>
      </w:divBdr>
    </w:div>
    <w:div w:id="1122915788">
      <w:bodyDiv w:val="1"/>
      <w:marLeft w:val="0"/>
      <w:marRight w:val="0"/>
      <w:marTop w:val="0"/>
      <w:marBottom w:val="0"/>
      <w:divBdr>
        <w:top w:val="none" w:sz="0" w:space="0" w:color="auto"/>
        <w:left w:val="none" w:sz="0" w:space="0" w:color="auto"/>
        <w:bottom w:val="none" w:sz="0" w:space="0" w:color="auto"/>
        <w:right w:val="none" w:sz="0" w:space="0" w:color="auto"/>
      </w:divBdr>
      <w:divsChild>
        <w:div w:id="524561279">
          <w:marLeft w:val="0"/>
          <w:marRight w:val="0"/>
          <w:marTop w:val="0"/>
          <w:marBottom w:val="0"/>
          <w:divBdr>
            <w:top w:val="none" w:sz="0" w:space="0" w:color="auto"/>
            <w:left w:val="none" w:sz="0" w:space="0" w:color="auto"/>
            <w:bottom w:val="none" w:sz="0" w:space="0" w:color="auto"/>
            <w:right w:val="none" w:sz="0" w:space="0" w:color="auto"/>
          </w:divBdr>
          <w:divsChild>
            <w:div w:id="966350932">
              <w:marLeft w:val="0"/>
              <w:marRight w:val="0"/>
              <w:marTop w:val="0"/>
              <w:marBottom w:val="0"/>
              <w:divBdr>
                <w:top w:val="none" w:sz="0" w:space="0" w:color="auto"/>
                <w:left w:val="none" w:sz="0" w:space="0" w:color="auto"/>
                <w:bottom w:val="none" w:sz="0" w:space="0" w:color="auto"/>
                <w:right w:val="none" w:sz="0" w:space="0" w:color="auto"/>
              </w:divBdr>
              <w:divsChild>
                <w:div w:id="3823827">
                  <w:marLeft w:val="0"/>
                  <w:marRight w:val="0"/>
                  <w:marTop w:val="0"/>
                  <w:marBottom w:val="0"/>
                  <w:divBdr>
                    <w:top w:val="none" w:sz="0" w:space="0" w:color="auto"/>
                    <w:left w:val="none" w:sz="0" w:space="0" w:color="auto"/>
                    <w:bottom w:val="none" w:sz="0" w:space="0" w:color="auto"/>
                    <w:right w:val="none" w:sz="0" w:space="0" w:color="auto"/>
                  </w:divBdr>
                  <w:divsChild>
                    <w:div w:id="13564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5994">
      <w:bodyDiv w:val="1"/>
      <w:marLeft w:val="0"/>
      <w:marRight w:val="0"/>
      <w:marTop w:val="0"/>
      <w:marBottom w:val="0"/>
      <w:divBdr>
        <w:top w:val="none" w:sz="0" w:space="0" w:color="auto"/>
        <w:left w:val="none" w:sz="0" w:space="0" w:color="auto"/>
        <w:bottom w:val="none" w:sz="0" w:space="0" w:color="auto"/>
        <w:right w:val="none" w:sz="0" w:space="0" w:color="auto"/>
      </w:divBdr>
    </w:div>
    <w:div w:id="2014642371">
      <w:bodyDiv w:val="1"/>
      <w:marLeft w:val="0"/>
      <w:marRight w:val="0"/>
      <w:marTop w:val="0"/>
      <w:marBottom w:val="0"/>
      <w:divBdr>
        <w:top w:val="none" w:sz="0" w:space="0" w:color="auto"/>
        <w:left w:val="none" w:sz="0" w:space="0" w:color="auto"/>
        <w:bottom w:val="none" w:sz="0" w:space="0" w:color="auto"/>
        <w:right w:val="none" w:sz="0" w:space="0" w:color="auto"/>
      </w:divBdr>
      <w:divsChild>
        <w:div w:id="1792898867">
          <w:marLeft w:val="0"/>
          <w:marRight w:val="0"/>
          <w:marTop w:val="0"/>
          <w:marBottom w:val="0"/>
          <w:divBdr>
            <w:top w:val="none" w:sz="0" w:space="0" w:color="auto"/>
            <w:left w:val="none" w:sz="0" w:space="0" w:color="auto"/>
            <w:bottom w:val="none" w:sz="0" w:space="0" w:color="auto"/>
            <w:right w:val="none" w:sz="0" w:space="0" w:color="auto"/>
          </w:divBdr>
        </w:div>
        <w:div w:id="462382704">
          <w:marLeft w:val="0"/>
          <w:marRight w:val="0"/>
          <w:marTop w:val="0"/>
          <w:marBottom w:val="0"/>
          <w:divBdr>
            <w:top w:val="none" w:sz="0" w:space="0" w:color="auto"/>
            <w:left w:val="none" w:sz="0" w:space="0" w:color="auto"/>
            <w:bottom w:val="none" w:sz="0" w:space="0" w:color="auto"/>
            <w:right w:val="none" w:sz="0" w:space="0" w:color="auto"/>
          </w:divBdr>
        </w:div>
        <w:div w:id="8602405">
          <w:marLeft w:val="0"/>
          <w:marRight w:val="0"/>
          <w:marTop w:val="0"/>
          <w:marBottom w:val="0"/>
          <w:divBdr>
            <w:top w:val="none" w:sz="0" w:space="0" w:color="auto"/>
            <w:left w:val="none" w:sz="0" w:space="0" w:color="auto"/>
            <w:bottom w:val="none" w:sz="0" w:space="0" w:color="auto"/>
            <w:right w:val="none" w:sz="0" w:space="0" w:color="auto"/>
          </w:divBdr>
        </w:div>
        <w:div w:id="1932201713">
          <w:marLeft w:val="0"/>
          <w:marRight w:val="0"/>
          <w:marTop w:val="0"/>
          <w:marBottom w:val="0"/>
          <w:divBdr>
            <w:top w:val="none" w:sz="0" w:space="0" w:color="auto"/>
            <w:left w:val="none" w:sz="0" w:space="0" w:color="auto"/>
            <w:bottom w:val="none" w:sz="0" w:space="0" w:color="auto"/>
            <w:right w:val="none" w:sz="0" w:space="0" w:color="auto"/>
          </w:divBdr>
        </w:div>
        <w:div w:id="1107457539">
          <w:marLeft w:val="0"/>
          <w:marRight w:val="0"/>
          <w:marTop w:val="0"/>
          <w:marBottom w:val="0"/>
          <w:divBdr>
            <w:top w:val="none" w:sz="0" w:space="0" w:color="auto"/>
            <w:left w:val="none" w:sz="0" w:space="0" w:color="auto"/>
            <w:bottom w:val="none" w:sz="0" w:space="0" w:color="auto"/>
            <w:right w:val="none" w:sz="0" w:space="0" w:color="auto"/>
          </w:divBdr>
        </w:div>
      </w:divsChild>
    </w:div>
    <w:div w:id="21159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limatebonds.net/resource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matebond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m.jones@climatebond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ois.rogers@climatebond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limatebonds.net/resources/reports/green-bond-pricing-report-h1-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42CD-BED4-4383-8276-489E3BCD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Fatin</dc:creator>
  <cp:keywords/>
  <dc:description/>
  <cp:lastModifiedBy>Liam Jones</cp:lastModifiedBy>
  <cp:revision>3</cp:revision>
  <dcterms:created xsi:type="dcterms:W3CDTF">2023-03-13T12:43:00Z</dcterms:created>
  <dcterms:modified xsi:type="dcterms:W3CDTF">2023-03-13T14:40:00Z</dcterms:modified>
</cp:coreProperties>
</file>