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B311" w14:textId="2E175250" w:rsidR="00012C1A" w:rsidRDefault="006E43C9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TRANSITION FINANCE FOR TRANSFORMING COMPANIES</w:t>
      </w:r>
      <w:r w:rsidR="00012C1A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– </w:t>
      </w: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DISCUSSION PAPER</w:t>
      </w:r>
    </w:p>
    <w:p w14:paraId="36BE6034" w14:textId="77777777" w:rsidR="00012C1A" w:rsidRDefault="00012C1A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</w:p>
    <w:p w14:paraId="407D7A3D" w14:textId="77777777" w:rsidR="00012C1A" w:rsidRPr="0056295C" w:rsidRDefault="00012C1A" w:rsidP="00012C1A">
      <w:pPr>
        <w:spacing w:after="160" w:line="252" w:lineRule="auto"/>
        <w:contextualSpacing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REQUEST FOR FEEDBACK</w:t>
      </w:r>
    </w:p>
    <w:p w14:paraId="28C75DB6" w14:textId="77777777" w:rsidR="00012C1A" w:rsidRPr="0056295C" w:rsidRDefault="00012C1A" w:rsidP="00012C1A">
      <w:pPr>
        <w:spacing w:after="160" w:line="252" w:lineRule="auto"/>
        <w:ind w:left="720"/>
        <w:contextualSpacing/>
        <w:jc w:val="center"/>
        <w:rPr>
          <w:rFonts w:asciiTheme="minorHAnsi" w:eastAsia="Times New Roman" w:hAnsiTheme="minorHAnsi" w:cstheme="minorHAnsi"/>
          <w:b/>
          <w:color w:val="auto"/>
        </w:rPr>
      </w:pPr>
    </w:p>
    <w:p w14:paraId="04B80EDE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241F20B5" w14:textId="39E5D0BE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Please provide </w:t>
      </w:r>
      <w:r w:rsidR="00330691">
        <w:rPr>
          <w:rFonts w:asciiTheme="minorHAnsi" w:eastAsia="Times New Roman" w:hAnsiTheme="minorHAnsi" w:cstheme="minorHAnsi"/>
          <w:color w:val="auto"/>
          <w:sz w:val="22"/>
        </w:rPr>
        <w:t>responses to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 the questions below.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Both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2"/>
        </w:rPr>
        <w:t>overarching and detailed feedback is wel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 xml:space="preserve">comed, however 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please 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make clear in your responses below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 where you are referring to specific sections of the document where appropriate</w:t>
      </w:r>
      <w:r w:rsidRPr="0056295C">
        <w:rPr>
          <w:rFonts w:asciiTheme="minorHAnsi" w:eastAsia="Times New Roman" w:hAnsiTheme="minorHAnsi" w:cstheme="minorHAnsi"/>
          <w:color w:val="auto"/>
          <w:sz w:val="22"/>
        </w:rPr>
        <w:t>.</w:t>
      </w:r>
    </w:p>
    <w:p w14:paraId="59369339" w14:textId="77777777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p w14:paraId="1DBAD8E3" w14:textId="3C96D5C1" w:rsidR="00012C1A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  <w:r>
        <w:rPr>
          <w:rFonts w:asciiTheme="minorHAnsi" w:eastAsia="Times New Roman" w:hAnsiTheme="minorHAnsi" w:cstheme="minorHAnsi"/>
          <w:color w:val="auto"/>
          <w:sz w:val="22"/>
        </w:rPr>
        <w:t xml:space="preserve">Please provide responses to </w:t>
      </w:r>
      <w:hyperlink r:id="rId7" w:history="1">
        <w:r w:rsidRPr="00D12B2D">
          <w:rPr>
            <w:rStyle w:val="Hyperlink"/>
          </w:rPr>
          <w:t>anna.creed@climatebonds.net</w:t>
        </w:r>
      </w:hyperlink>
      <w:r w:rsidR="006E43C9">
        <w:rPr>
          <w:rStyle w:val="Hyperlink"/>
        </w:rPr>
        <w:t xml:space="preserve"> </w:t>
      </w:r>
      <w:r w:rsidR="006E43C9" w:rsidRPr="006E43C9">
        <w:rPr>
          <w:rStyle w:val="Hyperlink"/>
          <w:color w:val="auto"/>
          <w:u w:val="none"/>
        </w:rPr>
        <w:t>and</w:t>
      </w:r>
      <w:r w:rsidR="006E43C9" w:rsidRPr="006E43C9">
        <w:rPr>
          <w:rStyle w:val="Hyperlink"/>
          <w:color w:val="auto"/>
        </w:rPr>
        <w:t xml:space="preserve"> </w:t>
      </w:r>
      <w:r w:rsidR="006E43C9">
        <w:rPr>
          <w:rStyle w:val="Hyperlink"/>
        </w:rPr>
        <w:t>michelle.horsfield</w:t>
      </w:r>
      <w:r w:rsidR="00903013">
        <w:rPr>
          <w:rStyle w:val="Hyperlink"/>
        </w:rPr>
        <w:t>@climatebonds.net</w:t>
      </w:r>
      <w:r>
        <w:rPr>
          <w:rFonts w:asciiTheme="minorHAnsi" w:eastAsia="Times New Roman" w:hAnsiTheme="minorHAnsi" w:cstheme="minorHAnsi"/>
          <w:color w:val="auto"/>
          <w:sz w:val="22"/>
        </w:rPr>
        <w:t xml:space="preserve">.  </w:t>
      </w:r>
    </w:p>
    <w:p w14:paraId="241F3483" w14:textId="77777777" w:rsidR="00012C1A" w:rsidRPr="0056295C" w:rsidRDefault="00012C1A" w:rsidP="00012C1A">
      <w:pPr>
        <w:spacing w:after="160" w:line="252" w:lineRule="auto"/>
        <w:contextualSpacing/>
        <w:rPr>
          <w:rFonts w:asciiTheme="minorHAnsi" w:eastAsia="Times New Roman" w:hAnsiTheme="minorHAnsi" w:cstheme="minorHAnsi"/>
          <w:color w:val="auto"/>
          <w:sz w:val="22"/>
        </w:rPr>
      </w:pP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7051DF" w:rsidRPr="007051DF" w14:paraId="321559C8" w14:textId="77777777" w:rsidTr="00B94EBF">
        <w:trPr>
          <w:trHeight w:val="466"/>
        </w:trPr>
        <w:tc>
          <w:tcPr>
            <w:tcW w:w="9498" w:type="dxa"/>
            <w:shd w:val="clear" w:color="auto" w:fill="2F5496" w:themeFill="accent1" w:themeFillShade="BF"/>
          </w:tcPr>
          <w:p w14:paraId="5453E8C3" w14:textId="272FB10D" w:rsidR="007051DF" w:rsidRPr="007051DF" w:rsidRDefault="007051DF" w:rsidP="000D0FA3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color w:val="FFFFFF" w:themeColor="background1"/>
                <w:sz w:val="24"/>
              </w:rPr>
            </w:pPr>
            <w:r w:rsidRPr="007051DF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2"/>
              </w:rPr>
              <w:t xml:space="preserve">Feedback from:  </w:t>
            </w:r>
          </w:p>
        </w:tc>
      </w:tr>
      <w:tr w:rsidR="00B94EBF" w:rsidRPr="00B94EBF" w14:paraId="7BEE8C5D" w14:textId="77777777" w:rsidTr="00B94EBF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3F4CAF51" w14:textId="4BB8F89B" w:rsidR="00B94EBF" w:rsidRPr="00B94EBF" w:rsidRDefault="00B94EBF" w:rsidP="00467722">
            <w:pPr>
              <w:spacing w:after="160" w:line="252" w:lineRule="auto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Q1: 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5 hallmarks of a credible company transition are put forward.  Would you refine or reframe anything specific within any of these hallmarks?  Is anything fundamental missing that is critical to a robust assessment of a company’s willingness and ability to transition? </w:t>
            </w:r>
          </w:p>
        </w:tc>
      </w:tr>
      <w:tr w:rsidR="00012C1A" w:rsidRPr="00012C1A" w14:paraId="698ACBE6" w14:textId="77777777" w:rsidTr="00012C1A">
        <w:tc>
          <w:tcPr>
            <w:tcW w:w="9498" w:type="dxa"/>
          </w:tcPr>
          <w:p w14:paraId="083D5D93" w14:textId="77777777" w:rsidR="00B94EBF" w:rsidRDefault="00012C1A" w:rsidP="001D333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 xml:space="preserve">Answer: </w:t>
            </w:r>
          </w:p>
          <w:p w14:paraId="403FC58F" w14:textId="793BDA94" w:rsidR="001D333A" w:rsidRPr="001D333A" w:rsidRDefault="001D333A" w:rsidP="001D333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B94EBF" w:rsidRPr="00B94EBF" w14:paraId="01D62719" w14:textId="77777777" w:rsidTr="000D0FA3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4AF3B0E5" w14:textId="785EF107" w:rsidR="001D333A" w:rsidRPr="00B94EBF" w:rsidRDefault="00B94EBF" w:rsidP="001D333A">
            <w:pPr>
              <w:spacing w:after="160" w:line="252" w:lineRule="auto"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Q2:  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Do you think these 5 hallmarks strike the right balance between comprehensiveness and simplicity (to encourage wide take-up while maintaining consistency and robustness i</w:t>
            </w:r>
            <w:r w:rsidR="00E364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the resulting transition assessments)?</w:t>
            </w:r>
          </w:p>
        </w:tc>
      </w:tr>
      <w:tr w:rsidR="00012C1A" w:rsidRPr="00012C1A" w14:paraId="446D86C7" w14:textId="77777777" w:rsidTr="00012C1A">
        <w:tc>
          <w:tcPr>
            <w:tcW w:w="9498" w:type="dxa"/>
          </w:tcPr>
          <w:p w14:paraId="4E7964AB" w14:textId="7C2AFB34" w:rsid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>Answer:</w:t>
            </w:r>
          </w:p>
          <w:p w14:paraId="4442741E" w14:textId="77777777" w:rsidR="00012C1A" w:rsidRPr="00012C1A" w:rsidRDefault="00012C1A" w:rsidP="001D333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B94EBF" w:rsidRPr="00B94EBF" w14:paraId="7A9DEBC7" w14:textId="77777777" w:rsidTr="000D0FA3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189A82F0" w14:textId="2874141B" w:rsidR="00B94EBF" w:rsidRPr="00467722" w:rsidRDefault="00B94EBF" w:rsidP="00467722">
            <w:pPr>
              <w:spacing w:after="160" w:line="252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Q3: 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you think all five hallmarks</w:t>
            </w:r>
            <w:r w:rsidR="00C87B0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and sub-indicators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are equally important</w:t>
            </w:r>
            <w:r w:rsidR="00C87B0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(i.e. all elements described need to be adequately fulfilled for the company to be deemed to be credibly transitioning), or would you establish a scoring methodology for assessing overall performance that would allow for underperformance in some areas if overperformance in others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?  </w:t>
            </w:r>
          </w:p>
        </w:tc>
      </w:tr>
      <w:tr w:rsidR="00012C1A" w:rsidRPr="00012C1A" w14:paraId="043F303B" w14:textId="77777777" w:rsidTr="00012C1A">
        <w:tc>
          <w:tcPr>
            <w:tcW w:w="9498" w:type="dxa"/>
          </w:tcPr>
          <w:p w14:paraId="435A87FF" w14:textId="0464A683" w:rsid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>Answer:</w:t>
            </w:r>
          </w:p>
          <w:p w14:paraId="19A9055B" w14:textId="256B722C" w:rsidR="00012C1A" w:rsidRP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B94EBF" w:rsidRPr="00B94EBF" w14:paraId="4C40A2B4" w14:textId="77777777" w:rsidTr="000D0FA3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7F87AEE6" w14:textId="134DB195" w:rsidR="00E3644C" w:rsidRDefault="00B94EBF" w:rsidP="001D333A">
            <w:p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Q4: </w:t>
            </w:r>
            <w:r w:rsidR="00E3644C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Does the proposal to split the transition label into 3 categories work (where green represents already at net zero, green transition those on a pathway and interim for those working towards being on that pathway?</w:t>
            </w:r>
          </w:p>
          <w:p w14:paraId="0072B970" w14:textId="74D78869" w:rsidR="00B94EBF" w:rsidRPr="001D333A" w:rsidRDefault="00E3644C" w:rsidP="001D333A">
            <w:p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Should the interim pathway have a </w:t>
            </w:r>
            <w:r w:rsidR="001D333A" w:rsidRPr="00467722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time-limit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ed </w:t>
            </w:r>
            <w:r w:rsidR="001D333A" w:rsidRPr="00467722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grace period 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that would encourage movement towards the green transition pathway?</w:t>
            </w:r>
          </w:p>
        </w:tc>
      </w:tr>
      <w:tr w:rsidR="00012C1A" w:rsidRPr="00012C1A" w14:paraId="23507BFC" w14:textId="77777777" w:rsidTr="00012C1A">
        <w:tc>
          <w:tcPr>
            <w:tcW w:w="9498" w:type="dxa"/>
          </w:tcPr>
          <w:p w14:paraId="03201A13" w14:textId="77777777" w:rsidR="00012C1A" w:rsidRP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>Answer:</w:t>
            </w:r>
          </w:p>
          <w:p w14:paraId="0F4D4B5A" w14:textId="1F6AB1B5" w:rsidR="00012C1A" w:rsidRP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B94EBF" w:rsidRPr="00B94EBF" w14:paraId="6F6A4EF7" w14:textId="77777777" w:rsidTr="000D0FA3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7B7FC30A" w14:textId="1917735D" w:rsidR="00B94EBF" w:rsidRPr="00330691" w:rsidRDefault="00B94EBF" w:rsidP="00330691">
            <w:pPr>
              <w:spacing w:after="160" w:line="252" w:lineRule="auto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Q5: </w:t>
            </w:r>
            <w:r w:rsidR="001D333A" w:rsidRPr="0033069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Could this </w:t>
            </w:r>
            <w:r w:rsidR="001D333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assessment </w:t>
            </w:r>
            <w:r w:rsidR="001D333A" w:rsidRPr="00330691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approach be applicable beyond corporates? (e.g. sovereigns, public entities, commercial and development banks).  How might it need to be adapted?</w:t>
            </w:r>
          </w:p>
        </w:tc>
      </w:tr>
      <w:tr w:rsidR="00012C1A" w:rsidRPr="00012C1A" w14:paraId="0EE25553" w14:textId="77777777" w:rsidTr="00012C1A">
        <w:tc>
          <w:tcPr>
            <w:tcW w:w="9498" w:type="dxa"/>
          </w:tcPr>
          <w:p w14:paraId="0C6DF757" w14:textId="77777777" w:rsidR="00012C1A" w:rsidRPr="00012C1A" w:rsidRDefault="00012C1A" w:rsidP="000D0FA3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>Answer:</w:t>
            </w:r>
          </w:p>
          <w:p w14:paraId="7E048800" w14:textId="77777777" w:rsidR="00012C1A" w:rsidRPr="00012C1A" w:rsidRDefault="00012C1A" w:rsidP="001D333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330691" w:rsidRPr="00012C1A" w14:paraId="7BE93E58" w14:textId="77777777" w:rsidTr="004418B4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68B33A6B" w14:textId="420710C8" w:rsidR="00330691" w:rsidRPr="00330691" w:rsidRDefault="00330691" w:rsidP="00330691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Q</w:t>
            </w:r>
            <w:r w:rsidR="00C87B0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6</w:t>
            </w:r>
            <w: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: </w:t>
            </w:r>
            <w:r w:rsidR="00C87B0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Do you think these Hallmarks could provide the basis for a robust assessment of Sustainability Linked Bonds? (More specifically for the assessment of the associated company KPIs linked to those bonds?) </w:t>
            </w:r>
          </w:p>
          <w:p w14:paraId="0308992E" w14:textId="77777777" w:rsidR="00330691" w:rsidRPr="00012C1A" w:rsidRDefault="00330691" w:rsidP="00012C1A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330691" w:rsidRPr="0056295C" w14:paraId="7705B247" w14:textId="77777777" w:rsidTr="00342A49">
        <w:tc>
          <w:tcPr>
            <w:tcW w:w="9498" w:type="dxa"/>
          </w:tcPr>
          <w:p w14:paraId="38AA9E16" w14:textId="77777777" w:rsidR="00330691" w:rsidRDefault="00330691" w:rsidP="00342A49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t>Answer:</w:t>
            </w:r>
          </w:p>
          <w:p w14:paraId="2C8EA2BB" w14:textId="134484F6" w:rsidR="00330691" w:rsidRPr="0056295C" w:rsidRDefault="00330691" w:rsidP="00342A49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  <w:tr w:rsidR="00012C1A" w:rsidRPr="00012C1A" w14:paraId="6C2E6F98" w14:textId="77777777" w:rsidTr="004418B4">
        <w:trPr>
          <w:trHeight w:val="466"/>
        </w:trPr>
        <w:tc>
          <w:tcPr>
            <w:tcW w:w="9498" w:type="dxa"/>
            <w:shd w:val="clear" w:color="auto" w:fill="DEEAF6" w:themeFill="accent5" w:themeFillTint="33"/>
          </w:tcPr>
          <w:p w14:paraId="21F91885" w14:textId="02ED5D63" w:rsidR="00012C1A" w:rsidRPr="00012C1A" w:rsidRDefault="00012C1A" w:rsidP="00012C1A">
            <w:pPr>
              <w:spacing w:after="160" w:line="252" w:lineRule="auto"/>
              <w:ind w:left="38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Q</w:t>
            </w:r>
            <w:r w:rsidR="00C87B0B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7</w:t>
            </w:r>
            <w:r w:rsidRPr="00012C1A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: Do you have any other feedback for us? </w:t>
            </w:r>
            <w:r w:rsidRPr="00012C1A">
              <w:rPr>
                <w:rFonts w:asciiTheme="minorHAnsi" w:eastAsia="Times New Roman" w:hAnsiTheme="minorHAnsi" w:cstheme="minorHAnsi"/>
                <w:color w:val="auto"/>
                <w:sz w:val="22"/>
              </w:rPr>
              <w:t>Please provide details</w:t>
            </w:r>
          </w:p>
        </w:tc>
      </w:tr>
      <w:tr w:rsidR="00012C1A" w:rsidRPr="0056295C" w14:paraId="4E034A85" w14:textId="77777777" w:rsidTr="00012C1A">
        <w:tc>
          <w:tcPr>
            <w:tcW w:w="9498" w:type="dxa"/>
          </w:tcPr>
          <w:p w14:paraId="4796914F" w14:textId="77777777" w:rsid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  <w:r w:rsidRPr="00012C1A">
              <w:rPr>
                <w:rFonts w:asciiTheme="minorHAnsi" w:eastAsia="Times New Roman" w:hAnsiTheme="minorHAnsi" w:cstheme="minorHAnsi"/>
                <w:color w:val="auto"/>
                <w:sz w:val="24"/>
              </w:rPr>
              <w:lastRenderedPageBreak/>
              <w:t>Answer:</w:t>
            </w:r>
          </w:p>
          <w:p w14:paraId="58ADD4BB" w14:textId="77777777" w:rsidR="00012C1A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  <w:p w14:paraId="4C7C0CC9" w14:textId="76514D33" w:rsidR="00012C1A" w:rsidRPr="0056295C" w:rsidRDefault="00012C1A" w:rsidP="00012C1A">
            <w:pPr>
              <w:spacing w:after="160" w:line="252" w:lineRule="auto"/>
              <w:contextualSpacing/>
              <w:rPr>
                <w:rFonts w:asciiTheme="minorHAnsi" w:eastAsia="Times New Roman" w:hAnsiTheme="minorHAnsi" w:cstheme="minorHAnsi"/>
                <w:color w:val="auto"/>
                <w:sz w:val="24"/>
              </w:rPr>
            </w:pPr>
          </w:p>
        </w:tc>
      </w:tr>
    </w:tbl>
    <w:p w14:paraId="647A211B" w14:textId="77777777" w:rsidR="00012C1A" w:rsidRDefault="00012C1A"/>
    <w:sectPr w:rsidR="00012C1A" w:rsidSect="00012C1A">
      <w:pgSz w:w="11906" w:h="16838"/>
      <w:pgMar w:top="1135" w:right="144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6716A" w14:textId="77777777" w:rsidR="00234848" w:rsidRDefault="00234848" w:rsidP="00012C1A">
      <w:pPr>
        <w:spacing w:after="0"/>
      </w:pPr>
      <w:r>
        <w:separator/>
      </w:r>
    </w:p>
  </w:endnote>
  <w:endnote w:type="continuationSeparator" w:id="0">
    <w:p w14:paraId="6EA08A58" w14:textId="77777777" w:rsidR="00234848" w:rsidRDefault="00234848" w:rsidP="00012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6DE7" w14:textId="77777777" w:rsidR="00234848" w:rsidRDefault="00234848" w:rsidP="00012C1A">
      <w:pPr>
        <w:spacing w:after="0"/>
      </w:pPr>
      <w:r>
        <w:separator/>
      </w:r>
    </w:p>
  </w:footnote>
  <w:footnote w:type="continuationSeparator" w:id="0">
    <w:p w14:paraId="1776FB98" w14:textId="77777777" w:rsidR="00234848" w:rsidRDefault="00234848" w:rsidP="00012C1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7B2F"/>
    <w:multiLevelType w:val="hybridMultilevel"/>
    <w:tmpl w:val="1BCCD76E"/>
    <w:lvl w:ilvl="0" w:tplc="32323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A3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AE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EE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43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88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E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C2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A4A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E55786"/>
    <w:multiLevelType w:val="hybridMultilevel"/>
    <w:tmpl w:val="DCD42A7E"/>
    <w:lvl w:ilvl="0" w:tplc="9D601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909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A88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AA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86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C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2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26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C66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DD4EB4"/>
    <w:multiLevelType w:val="hybridMultilevel"/>
    <w:tmpl w:val="290C15F2"/>
    <w:lvl w:ilvl="0" w:tplc="44CA8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29A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23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06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6C5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08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C5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25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DE2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874E0D"/>
    <w:multiLevelType w:val="hybridMultilevel"/>
    <w:tmpl w:val="FE1C1DC4"/>
    <w:lvl w:ilvl="0" w:tplc="3B56D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EE8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B08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D2C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46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4A1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6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962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0E3FC0"/>
    <w:multiLevelType w:val="hybridMultilevel"/>
    <w:tmpl w:val="BA8C2B6C"/>
    <w:lvl w:ilvl="0" w:tplc="2E56F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0F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0E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A8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EB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82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07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C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0F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A"/>
    <w:rsid w:val="00012C1A"/>
    <w:rsid w:val="000670B7"/>
    <w:rsid w:val="001D333A"/>
    <w:rsid w:val="001D5A46"/>
    <w:rsid w:val="00234848"/>
    <w:rsid w:val="00330691"/>
    <w:rsid w:val="003354C0"/>
    <w:rsid w:val="003D091F"/>
    <w:rsid w:val="004418B4"/>
    <w:rsid w:val="00467722"/>
    <w:rsid w:val="00521C47"/>
    <w:rsid w:val="006D3D63"/>
    <w:rsid w:val="006E43C9"/>
    <w:rsid w:val="006F6216"/>
    <w:rsid w:val="007051DF"/>
    <w:rsid w:val="00832807"/>
    <w:rsid w:val="00862952"/>
    <w:rsid w:val="008664A2"/>
    <w:rsid w:val="0087038E"/>
    <w:rsid w:val="00903013"/>
    <w:rsid w:val="009863BF"/>
    <w:rsid w:val="00A03D8D"/>
    <w:rsid w:val="00A80930"/>
    <w:rsid w:val="00B94EBF"/>
    <w:rsid w:val="00C061E6"/>
    <w:rsid w:val="00C6237A"/>
    <w:rsid w:val="00C87B0B"/>
    <w:rsid w:val="00CF744C"/>
    <w:rsid w:val="00D52FAD"/>
    <w:rsid w:val="00E3644C"/>
    <w:rsid w:val="00E67089"/>
    <w:rsid w:val="00FC21F3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74D6F"/>
  <w15:chartTrackingRefBased/>
  <w15:docId w15:val="{07A4916B-545D-40AA-8F15-58E040C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6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qFormat/>
    <w:rsid w:val="00012C1A"/>
    <w:pPr>
      <w:spacing w:after="80" w:line="240" w:lineRule="auto"/>
    </w:pPr>
    <w:rPr>
      <w:rFonts w:ascii="Arial" w:hAnsi="Arial"/>
      <w:color w:val="44546A" w:themeColor="tex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2C1A"/>
    <w:rPr>
      <w:color w:val="0563C1" w:themeColor="hyperlink"/>
      <w:u w:val="single"/>
    </w:rPr>
  </w:style>
  <w:style w:type="paragraph" w:customStyle="1" w:styleId="footnotedescription">
    <w:name w:val="footnote description"/>
    <w:next w:val="Normal"/>
    <w:link w:val="footnotedescriptionChar"/>
    <w:hidden/>
    <w:rsid w:val="00012C1A"/>
    <w:pPr>
      <w:spacing w:after="0" w:line="248" w:lineRule="auto"/>
    </w:pPr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012C1A"/>
    <w:rPr>
      <w:rFonts w:ascii="Candara" w:eastAsia="Candara" w:hAnsi="Candara" w:cs="Candara"/>
      <w:color w:val="000000"/>
      <w:sz w:val="18"/>
      <w:lang w:eastAsia="en-GB"/>
    </w:rPr>
  </w:style>
  <w:style w:type="character" w:customStyle="1" w:styleId="footnotemark">
    <w:name w:val="footnote mark"/>
    <w:hidden/>
    <w:rsid w:val="00012C1A"/>
    <w:rPr>
      <w:rFonts w:ascii="Candara" w:eastAsia="Candara" w:hAnsi="Candara" w:cs="Candara"/>
      <w:color w:val="000000"/>
      <w:sz w:val="18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12C1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7722"/>
    <w:pPr>
      <w:spacing w:after="0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2520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9059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593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532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418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8617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9672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726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504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660">
          <w:marLeft w:val="288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creed@climatebond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Creed</dc:creator>
  <cp:keywords/>
  <dc:description/>
  <cp:lastModifiedBy>Michelle Horsfield</cp:lastModifiedBy>
  <cp:revision>4</cp:revision>
  <dcterms:created xsi:type="dcterms:W3CDTF">2021-09-24T15:14:00Z</dcterms:created>
  <dcterms:modified xsi:type="dcterms:W3CDTF">2021-09-24T15:20:00Z</dcterms:modified>
</cp:coreProperties>
</file>