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F9E25" w14:textId="5EC986AD" w:rsidR="005B0E7F" w:rsidRPr="00963619" w:rsidRDefault="007D44D6">
      <w:pPr>
        <w:pStyle w:val="Heading2"/>
        <w:rPr>
          <w:sz w:val="36"/>
          <w:szCs w:val="28"/>
        </w:rPr>
      </w:pPr>
      <w:r w:rsidRPr="00963619">
        <w:rPr>
          <w:sz w:val="36"/>
          <w:szCs w:val="28"/>
        </w:rPr>
        <w:t>Cement sector – Public Consultation on criteria</w:t>
      </w:r>
    </w:p>
    <w:p w14:paraId="0E92AE70" w14:textId="03ECD973" w:rsidR="005B0E7F" w:rsidRDefault="007D44D6">
      <w:r>
        <w:t>This document sets out the consultation questions we would like you to consider and provides space for your feed-back and comments. Thank you for your participation</w:t>
      </w:r>
      <w:r w:rsidR="00963619">
        <w:t>.</w:t>
      </w:r>
    </w:p>
    <w:p w14:paraId="47D82790" w14:textId="22B20DA8" w:rsidR="00963619" w:rsidRDefault="00963619">
      <w:r>
        <w:t>All feedback, along with</w:t>
      </w:r>
      <w:r w:rsidR="00004BA8">
        <w:t xml:space="preserve"> the</w:t>
      </w:r>
      <w:r>
        <w:t xml:space="preserve"> responses and clarifications from the TWG, will be made </w:t>
      </w:r>
      <w:r w:rsidR="00004BA8">
        <w:t>transparent</w:t>
      </w:r>
      <w:r>
        <w:t xml:space="preserve"> on the final documentation. </w:t>
      </w:r>
      <w:r w:rsidRPr="00963619">
        <w:t xml:space="preserve">Names and organisations that provide feedback </w:t>
      </w:r>
      <w:r w:rsidR="00004BA8">
        <w:t>are</w:t>
      </w:r>
      <w:r w:rsidRPr="00963619">
        <w:t xml:space="preserve"> kept anonymous.</w:t>
      </w:r>
    </w:p>
    <w:p w14:paraId="7935CBAD" w14:textId="55809BFA" w:rsidR="00004BA8" w:rsidRDefault="00004BA8"/>
    <w:p w14:paraId="7DED51C1" w14:textId="77777777" w:rsidR="00004BA8" w:rsidRPr="00004BA8" w:rsidRDefault="00004BA8" w:rsidP="00004BA8">
      <w:pPr>
        <w:rPr>
          <w:lang w:val="en-US"/>
        </w:rPr>
      </w:pPr>
      <w:r w:rsidRPr="00004BA8">
        <w:rPr>
          <w:rFonts w:asciiTheme="minorHAnsi" w:hAnsiTheme="minorHAnsi" w:cstheme="minorHAnsi"/>
          <w:b/>
          <w:bCs/>
          <w:lang w:val="en-US"/>
        </w:rPr>
        <w:t>Name</w:t>
      </w:r>
      <w:r w:rsidRPr="00004BA8">
        <w:rPr>
          <w:lang w:val="en-US"/>
        </w:rPr>
        <w:t>:</w:t>
      </w:r>
    </w:p>
    <w:p w14:paraId="1466532D" w14:textId="77777777" w:rsidR="00004BA8" w:rsidRPr="00004BA8" w:rsidRDefault="00004BA8" w:rsidP="00004BA8">
      <w:pPr>
        <w:rPr>
          <w:lang w:val="en-US"/>
        </w:rPr>
      </w:pPr>
      <w:r w:rsidRPr="00004BA8">
        <w:rPr>
          <w:rFonts w:asciiTheme="minorHAnsi" w:hAnsiTheme="minorHAnsi" w:cstheme="minorHAnsi"/>
          <w:b/>
          <w:bCs/>
          <w:lang w:val="en-US"/>
        </w:rPr>
        <w:t>Organisation</w:t>
      </w:r>
      <w:r w:rsidRPr="00004BA8">
        <w:rPr>
          <w:lang w:val="en-US"/>
        </w:rPr>
        <w:t>:</w:t>
      </w:r>
    </w:p>
    <w:p w14:paraId="349194C7" w14:textId="77777777" w:rsidR="00004BA8" w:rsidRPr="00004BA8" w:rsidRDefault="00004BA8" w:rsidP="00004BA8">
      <w:pPr>
        <w:rPr>
          <w:b/>
          <w:lang w:val="en-US"/>
        </w:rPr>
      </w:pPr>
      <w:r w:rsidRPr="00004BA8">
        <w:rPr>
          <w:rFonts w:asciiTheme="minorHAnsi" w:hAnsiTheme="minorHAnsi" w:cstheme="minorHAnsi"/>
          <w:b/>
          <w:bCs/>
          <w:lang w:val="en-US"/>
        </w:rPr>
        <w:t>Email</w:t>
      </w:r>
      <w:r w:rsidRPr="00004BA8">
        <w:rPr>
          <w:b/>
          <w:lang w:val="en-US"/>
        </w:rPr>
        <w:t>:</w:t>
      </w:r>
    </w:p>
    <w:p w14:paraId="41ECB371" w14:textId="61B3ACC6" w:rsidR="00004BA8" w:rsidRDefault="00004BA8" w:rsidP="00004BA8">
      <w:r w:rsidRPr="00004BA8">
        <w:rPr>
          <w:lang w:val="en-US"/>
        </w:rPr>
        <w:t xml:space="preserve">Please return this form </w:t>
      </w:r>
      <w:r>
        <w:rPr>
          <w:rFonts w:asciiTheme="minorHAnsi" w:hAnsiTheme="minorHAnsi" w:cstheme="minorHAnsi"/>
          <w:b/>
          <w:bCs/>
          <w:lang w:val="en-US"/>
        </w:rPr>
        <w:t>by</w:t>
      </w:r>
      <w:r w:rsidRPr="00004BA8">
        <w:rPr>
          <w:rFonts w:asciiTheme="minorHAnsi" w:hAnsiTheme="minorHAnsi" w:cstheme="minorHAnsi"/>
          <w:b/>
          <w:bCs/>
          <w:lang w:val="en-US"/>
        </w:rPr>
        <w:t xml:space="preserve"> close of business 23</w:t>
      </w:r>
      <w:r w:rsidRPr="00004BA8">
        <w:rPr>
          <w:rFonts w:asciiTheme="minorHAnsi" w:hAnsiTheme="minorHAnsi" w:cstheme="minorHAnsi"/>
          <w:b/>
          <w:bCs/>
          <w:vertAlign w:val="superscript"/>
          <w:lang w:val="en-US"/>
        </w:rPr>
        <w:t>rd</w:t>
      </w:r>
      <w:r w:rsidRPr="00004BA8">
        <w:rPr>
          <w:rFonts w:asciiTheme="minorHAnsi" w:hAnsiTheme="minorHAnsi" w:cstheme="minorHAnsi"/>
          <w:b/>
          <w:bCs/>
          <w:lang w:val="en-US"/>
        </w:rPr>
        <w:t xml:space="preserve"> April 2022</w:t>
      </w:r>
      <w:r w:rsidRPr="00004BA8">
        <w:rPr>
          <w:lang w:val="en-US"/>
        </w:rPr>
        <w:t xml:space="preserve"> to </w:t>
      </w:r>
      <w:hyperlink r:id="rId8" w:history="1">
        <w:r w:rsidRPr="00004BA8">
          <w:rPr>
            <w:rStyle w:val="Hyperlink"/>
            <w:lang w:val="en-US"/>
          </w:rPr>
          <w:t>public.consultation@climatebonds.net</w:t>
        </w:r>
      </w:hyperlink>
    </w:p>
    <w:p w14:paraId="44F80D02" w14:textId="6A2567D9" w:rsidR="00004BA8" w:rsidRDefault="00004BA8" w:rsidP="00004BA8"/>
    <w:tbl>
      <w:tblPr>
        <w:tblStyle w:val="TableGrid"/>
        <w:tblW w:w="0" w:type="auto"/>
        <w:tblLook w:val="04A0" w:firstRow="1" w:lastRow="0" w:firstColumn="1" w:lastColumn="0" w:noHBand="0" w:noVBand="1"/>
      </w:tblPr>
      <w:tblGrid>
        <w:gridCol w:w="3964"/>
        <w:gridCol w:w="4962"/>
      </w:tblGrid>
      <w:tr w:rsidR="00E74EB9" w:rsidRPr="00A9455F" w14:paraId="005AA2BF" w14:textId="77777777" w:rsidTr="0066150C">
        <w:trPr>
          <w:trHeight w:val="525"/>
        </w:trPr>
        <w:tc>
          <w:tcPr>
            <w:tcW w:w="3964" w:type="dxa"/>
          </w:tcPr>
          <w:p w14:paraId="08CCE5CF" w14:textId="77777777" w:rsidR="00E74EB9" w:rsidRPr="00A9455F" w:rsidRDefault="00E74EB9" w:rsidP="0073305D">
            <w:pPr>
              <w:rPr>
                <w:b/>
                <w:lang w:val="en-US"/>
              </w:rPr>
            </w:pPr>
            <w:r w:rsidRPr="00A9455F">
              <w:rPr>
                <w:b/>
                <w:lang w:val="en-US"/>
              </w:rPr>
              <w:t xml:space="preserve">Question </w:t>
            </w:r>
          </w:p>
        </w:tc>
        <w:tc>
          <w:tcPr>
            <w:tcW w:w="4962" w:type="dxa"/>
          </w:tcPr>
          <w:p w14:paraId="3798EA20" w14:textId="77777777" w:rsidR="00E74EB9" w:rsidRPr="00A9455F" w:rsidRDefault="00E74EB9" w:rsidP="0073305D">
            <w:pPr>
              <w:rPr>
                <w:b/>
                <w:lang w:val="en-US"/>
              </w:rPr>
            </w:pPr>
            <w:r w:rsidRPr="00A9455F">
              <w:rPr>
                <w:b/>
                <w:lang w:val="en-US"/>
              </w:rPr>
              <w:t xml:space="preserve">Response </w:t>
            </w:r>
          </w:p>
        </w:tc>
      </w:tr>
      <w:tr w:rsidR="00E74EB9" w14:paraId="31CB5613" w14:textId="77777777" w:rsidTr="0066150C">
        <w:trPr>
          <w:trHeight w:val="525"/>
        </w:trPr>
        <w:tc>
          <w:tcPr>
            <w:tcW w:w="3964" w:type="dxa"/>
          </w:tcPr>
          <w:p w14:paraId="1D82F3F1" w14:textId="7E410496" w:rsidR="00BF24DB" w:rsidRDefault="00A24736" w:rsidP="005A1546">
            <w:pPr>
              <w:rPr>
                <w:lang w:val="en-US"/>
              </w:rPr>
            </w:pPr>
            <w:r>
              <w:rPr>
                <w:lang w:val="en-US"/>
              </w:rPr>
              <w:t xml:space="preserve">1 – </w:t>
            </w:r>
            <w:r w:rsidR="00E74EB9">
              <w:rPr>
                <w:lang w:val="en-US"/>
              </w:rPr>
              <w:t>Is the scope of activity appropriate?</w:t>
            </w:r>
            <w:r w:rsidR="00BF24DB">
              <w:rPr>
                <w:lang w:val="en-US"/>
              </w:rPr>
              <w:t xml:space="preserve"> </w:t>
            </w:r>
          </w:p>
          <w:p w14:paraId="5C7D6E04" w14:textId="77777777" w:rsidR="00E74EB9" w:rsidRDefault="00BF24DB" w:rsidP="005A1546">
            <w:pPr>
              <w:rPr>
                <w:lang w:val="en-US"/>
              </w:rPr>
            </w:pPr>
            <w:r>
              <w:rPr>
                <w:lang w:val="en-US"/>
              </w:rPr>
              <w:t>Refer to section 2 of the Criteria document</w:t>
            </w:r>
            <w:r w:rsidR="00282B6A">
              <w:rPr>
                <w:lang w:val="en-US"/>
              </w:rPr>
              <w:t xml:space="preserve"> and section </w:t>
            </w:r>
            <w:r w:rsidR="005A1546">
              <w:rPr>
                <w:lang w:val="en-US"/>
              </w:rPr>
              <w:t>4.2</w:t>
            </w:r>
            <w:r w:rsidR="00282B6A">
              <w:rPr>
                <w:lang w:val="en-US"/>
              </w:rPr>
              <w:t xml:space="preserve"> in the Background document</w:t>
            </w:r>
            <w:r>
              <w:rPr>
                <w:lang w:val="en-US"/>
              </w:rPr>
              <w:t>.</w:t>
            </w:r>
          </w:p>
          <w:p w14:paraId="30223A0D" w14:textId="217D3C42" w:rsidR="00FA1B62" w:rsidRDefault="00FA1B62" w:rsidP="005A1546">
            <w:pPr>
              <w:rPr>
                <w:lang w:val="en-US"/>
              </w:rPr>
            </w:pPr>
          </w:p>
        </w:tc>
        <w:tc>
          <w:tcPr>
            <w:tcW w:w="4962" w:type="dxa"/>
          </w:tcPr>
          <w:p w14:paraId="2C19D533" w14:textId="77777777" w:rsidR="00E74EB9" w:rsidRDefault="00E74EB9" w:rsidP="005A1546">
            <w:pPr>
              <w:rPr>
                <w:lang w:val="en-US"/>
              </w:rPr>
            </w:pPr>
          </w:p>
          <w:p w14:paraId="7614CA89" w14:textId="77777777" w:rsidR="00E74EB9" w:rsidRDefault="00E74EB9" w:rsidP="005A1546">
            <w:pPr>
              <w:rPr>
                <w:lang w:val="en-US"/>
              </w:rPr>
            </w:pPr>
          </w:p>
          <w:p w14:paraId="16AACEC7" w14:textId="77777777" w:rsidR="00E74EB9" w:rsidRDefault="00E74EB9" w:rsidP="005A1546">
            <w:pPr>
              <w:rPr>
                <w:lang w:val="en-US"/>
              </w:rPr>
            </w:pPr>
          </w:p>
        </w:tc>
      </w:tr>
      <w:tr w:rsidR="00E74EB9" w14:paraId="37D34E77" w14:textId="77777777" w:rsidTr="0066150C">
        <w:trPr>
          <w:trHeight w:val="505"/>
        </w:trPr>
        <w:tc>
          <w:tcPr>
            <w:tcW w:w="3964" w:type="dxa"/>
          </w:tcPr>
          <w:p w14:paraId="13658C8C" w14:textId="7FA51133" w:rsidR="00BF24DB" w:rsidRDefault="00A24736" w:rsidP="005A1546">
            <w:pPr>
              <w:rPr>
                <w:lang w:val="en-US"/>
              </w:rPr>
            </w:pPr>
            <w:r>
              <w:rPr>
                <w:lang w:val="en-US"/>
              </w:rPr>
              <w:t xml:space="preserve">2 – </w:t>
            </w:r>
            <w:r w:rsidR="00DB083B">
              <w:rPr>
                <w:lang w:val="en-US"/>
              </w:rPr>
              <w:t>Please comment on the scope o</w:t>
            </w:r>
            <w:r w:rsidR="00BF24DB">
              <w:rPr>
                <w:lang w:val="en-US"/>
              </w:rPr>
              <w:t xml:space="preserve">f emissions </w:t>
            </w:r>
            <w:r w:rsidR="00DB083B">
              <w:rPr>
                <w:lang w:val="en-US"/>
              </w:rPr>
              <w:t xml:space="preserve">of the criteria, considering whether it is justified, logical and </w:t>
            </w:r>
            <w:r w:rsidR="00FA1B62">
              <w:rPr>
                <w:lang w:val="en-US"/>
              </w:rPr>
              <w:t>practicable.</w:t>
            </w:r>
          </w:p>
          <w:p w14:paraId="14FFA4B1" w14:textId="3B089989" w:rsidR="00E74EB9" w:rsidRDefault="00BF24DB" w:rsidP="005A1546">
            <w:pPr>
              <w:rPr>
                <w:lang w:val="en-US"/>
              </w:rPr>
            </w:pPr>
            <w:r>
              <w:rPr>
                <w:lang w:val="en-US"/>
              </w:rPr>
              <w:t>Refer to section 3.</w:t>
            </w:r>
            <w:r w:rsidR="00FA1B62">
              <w:rPr>
                <w:lang w:val="en-US"/>
              </w:rPr>
              <w:t>3</w:t>
            </w:r>
            <w:r>
              <w:rPr>
                <w:lang w:val="en-US"/>
              </w:rPr>
              <w:t>.1 in the Criteria document.</w:t>
            </w:r>
          </w:p>
          <w:p w14:paraId="60B1F011" w14:textId="2E4E82E0" w:rsidR="00FA1B62" w:rsidRDefault="00FA1B62" w:rsidP="005A1546">
            <w:pPr>
              <w:rPr>
                <w:lang w:val="en-US"/>
              </w:rPr>
            </w:pPr>
          </w:p>
        </w:tc>
        <w:tc>
          <w:tcPr>
            <w:tcW w:w="4962" w:type="dxa"/>
          </w:tcPr>
          <w:p w14:paraId="626F02E5" w14:textId="77777777" w:rsidR="00E74EB9" w:rsidRDefault="00E74EB9" w:rsidP="005A1546">
            <w:pPr>
              <w:rPr>
                <w:lang w:val="en-US"/>
              </w:rPr>
            </w:pPr>
          </w:p>
          <w:p w14:paraId="57CEE926" w14:textId="77777777" w:rsidR="00E74EB9" w:rsidRDefault="00E74EB9" w:rsidP="005A1546">
            <w:pPr>
              <w:rPr>
                <w:lang w:val="en-US"/>
              </w:rPr>
            </w:pPr>
          </w:p>
        </w:tc>
      </w:tr>
      <w:tr w:rsidR="00E74EB9" w14:paraId="5FF1C786" w14:textId="77777777" w:rsidTr="0066150C">
        <w:trPr>
          <w:trHeight w:val="505"/>
        </w:trPr>
        <w:tc>
          <w:tcPr>
            <w:tcW w:w="3964" w:type="dxa"/>
          </w:tcPr>
          <w:p w14:paraId="5E6D3DDB" w14:textId="07C4E669" w:rsidR="00E74EB9" w:rsidRDefault="00A24736" w:rsidP="005A1546">
            <w:pPr>
              <w:rPr>
                <w:lang w:val="en-US"/>
              </w:rPr>
            </w:pPr>
            <w:r>
              <w:rPr>
                <w:lang w:val="en-US"/>
              </w:rPr>
              <w:t xml:space="preserve">3 – </w:t>
            </w:r>
            <w:r w:rsidR="00282B6A">
              <w:rPr>
                <w:lang w:val="en-US"/>
              </w:rPr>
              <w:t xml:space="preserve">Is the </w:t>
            </w:r>
            <w:hyperlink r:id="rId9" w:history="1">
              <w:r w:rsidR="00282B6A" w:rsidRPr="0066150C">
                <w:rPr>
                  <w:rStyle w:val="Hyperlink"/>
                  <w:lang w:val="en-US"/>
                </w:rPr>
                <w:t>Transition Pathway Initiative pathway</w:t>
              </w:r>
            </w:hyperlink>
            <w:r w:rsidR="00282B6A">
              <w:rPr>
                <w:lang w:val="en-US"/>
              </w:rPr>
              <w:t xml:space="preserve"> the best to reference? If not, what else should be considered?</w:t>
            </w:r>
          </w:p>
          <w:p w14:paraId="62A2FAD2" w14:textId="77777777" w:rsidR="00282B6A" w:rsidRDefault="00282B6A" w:rsidP="005A1546">
            <w:pPr>
              <w:rPr>
                <w:lang w:val="en-US"/>
              </w:rPr>
            </w:pPr>
            <w:r>
              <w:rPr>
                <w:lang w:val="en-US"/>
              </w:rPr>
              <w:t xml:space="preserve">Refer to section </w:t>
            </w:r>
            <w:r w:rsidR="005A1546">
              <w:rPr>
                <w:lang w:val="en-US"/>
              </w:rPr>
              <w:t>3.2 and 3.3 in the Criteria document, and section 4.3.1 in the Background document.</w:t>
            </w:r>
          </w:p>
          <w:p w14:paraId="40760824" w14:textId="2E5DE18F" w:rsidR="00FA1B62" w:rsidRPr="00A9455F" w:rsidRDefault="00FA1B62" w:rsidP="005A1546">
            <w:pPr>
              <w:rPr>
                <w:lang w:val="en-US"/>
              </w:rPr>
            </w:pPr>
          </w:p>
        </w:tc>
        <w:tc>
          <w:tcPr>
            <w:tcW w:w="4962" w:type="dxa"/>
          </w:tcPr>
          <w:p w14:paraId="0B232FE9" w14:textId="77777777" w:rsidR="00E74EB9" w:rsidRDefault="00E74EB9" w:rsidP="005A1546">
            <w:pPr>
              <w:rPr>
                <w:lang w:val="en-US"/>
              </w:rPr>
            </w:pPr>
          </w:p>
        </w:tc>
      </w:tr>
      <w:tr w:rsidR="00AE53A8" w14:paraId="172D03D3" w14:textId="77777777" w:rsidTr="0066150C">
        <w:trPr>
          <w:trHeight w:val="505"/>
        </w:trPr>
        <w:tc>
          <w:tcPr>
            <w:tcW w:w="3964" w:type="dxa"/>
          </w:tcPr>
          <w:p w14:paraId="4BFFA51B" w14:textId="21692166" w:rsidR="00AE53A8" w:rsidRDefault="00FE2597" w:rsidP="005A1546">
            <w:pPr>
              <w:rPr>
                <w:lang w:val="en-US"/>
              </w:rPr>
            </w:pPr>
            <w:r>
              <w:rPr>
                <w:lang w:val="en-US"/>
              </w:rPr>
              <w:t>4</w:t>
            </w:r>
            <w:r w:rsidR="00A24736">
              <w:rPr>
                <w:lang w:val="en-US"/>
              </w:rPr>
              <w:t xml:space="preserve"> – </w:t>
            </w:r>
            <w:r w:rsidR="00AE53A8">
              <w:rPr>
                <w:lang w:val="en-US"/>
              </w:rPr>
              <w:t>When verifying an issuer’s compliance with a pathway, which of these two options is optimal:</w:t>
            </w:r>
          </w:p>
          <w:p w14:paraId="53DF9FC7" w14:textId="77777777" w:rsidR="00AE53A8" w:rsidRDefault="00AE53A8" w:rsidP="005A1546">
            <w:pPr>
              <w:rPr>
                <w:lang w:val="en-US"/>
              </w:rPr>
            </w:pPr>
            <w:r>
              <w:rPr>
                <w:lang w:val="en-US"/>
              </w:rPr>
              <w:t>a)  Take the mid-point threshold of the bond (e.g.</w:t>
            </w:r>
            <w:r w:rsidR="00C14171">
              <w:rPr>
                <w:lang w:val="en-US"/>
              </w:rPr>
              <w:t>, year 10 for a 20-year bond) which the plant must meet once at the point of issuance.</w:t>
            </w:r>
          </w:p>
          <w:p w14:paraId="658A7E35" w14:textId="77777777" w:rsidR="00C14171" w:rsidRDefault="00C14171" w:rsidP="005A1546">
            <w:pPr>
              <w:rPr>
                <w:lang w:val="en-US"/>
              </w:rPr>
            </w:pPr>
            <w:r>
              <w:rPr>
                <w:lang w:val="en-US"/>
              </w:rPr>
              <w:t>b) Demonstrating continued compliance with the pathway thresholds every three years through annual reporting.</w:t>
            </w:r>
          </w:p>
          <w:p w14:paraId="18001701" w14:textId="77777777" w:rsidR="00C14171" w:rsidRDefault="00C14171" w:rsidP="005A1546">
            <w:pPr>
              <w:rPr>
                <w:lang w:val="en-US"/>
              </w:rPr>
            </w:pPr>
            <w:r>
              <w:rPr>
                <w:lang w:val="en-US"/>
              </w:rPr>
              <w:t>See section 3.2.3 in the Criteria document.</w:t>
            </w:r>
          </w:p>
          <w:p w14:paraId="2BC33842" w14:textId="6F5481AF" w:rsidR="00FA1B62" w:rsidRDefault="00FA1B62" w:rsidP="005A1546">
            <w:pPr>
              <w:rPr>
                <w:lang w:val="en-US"/>
              </w:rPr>
            </w:pPr>
          </w:p>
        </w:tc>
        <w:tc>
          <w:tcPr>
            <w:tcW w:w="4962" w:type="dxa"/>
          </w:tcPr>
          <w:p w14:paraId="7B521643" w14:textId="77777777" w:rsidR="00AE53A8" w:rsidRDefault="00AE53A8" w:rsidP="005A1546">
            <w:pPr>
              <w:rPr>
                <w:lang w:val="en-US"/>
              </w:rPr>
            </w:pPr>
          </w:p>
        </w:tc>
      </w:tr>
      <w:tr w:rsidR="00E74EB9" w14:paraId="52F495D5" w14:textId="77777777" w:rsidTr="0066150C">
        <w:trPr>
          <w:trHeight w:val="505"/>
        </w:trPr>
        <w:tc>
          <w:tcPr>
            <w:tcW w:w="3964" w:type="dxa"/>
          </w:tcPr>
          <w:p w14:paraId="1A6FCD1C" w14:textId="1356AB2F" w:rsidR="00E74EB9" w:rsidRDefault="00FE2597" w:rsidP="005A1546">
            <w:pPr>
              <w:rPr>
                <w:lang w:val="en-US"/>
              </w:rPr>
            </w:pPr>
            <w:r>
              <w:rPr>
                <w:lang w:val="en-US"/>
              </w:rPr>
              <w:t>5</w:t>
            </w:r>
            <w:r w:rsidR="00A24736">
              <w:rPr>
                <w:lang w:val="en-US"/>
              </w:rPr>
              <w:t xml:space="preserve"> – </w:t>
            </w:r>
            <w:r w:rsidR="005A1546">
              <w:rPr>
                <w:lang w:val="en-US"/>
              </w:rPr>
              <w:t xml:space="preserve">The Criteria </w:t>
            </w:r>
            <w:r w:rsidR="00A65E12">
              <w:rPr>
                <w:lang w:val="en-US"/>
              </w:rPr>
              <w:t xml:space="preserve">set additional calculations for the pathway thresholds based on the average </w:t>
            </w:r>
            <w:r w:rsidR="00A65E12">
              <w:rPr>
                <w:lang w:val="en-US"/>
              </w:rPr>
              <w:lastRenderedPageBreak/>
              <w:t>cement class (as a proxy for clinker quality) produced by a plant / group of plants.</w:t>
            </w:r>
          </w:p>
          <w:p w14:paraId="4A0720DD" w14:textId="6D3B4407" w:rsidR="00A65E12" w:rsidRDefault="00DB083B" w:rsidP="005A1546">
            <w:pPr>
              <w:rPr>
                <w:lang w:val="en-US"/>
              </w:rPr>
            </w:pPr>
            <w:r>
              <w:rPr>
                <w:lang w:val="en-US"/>
              </w:rPr>
              <w:t>Please comment on this</w:t>
            </w:r>
            <w:r w:rsidR="00A65E12">
              <w:rPr>
                <w:lang w:val="en-US"/>
              </w:rPr>
              <w:t xml:space="preserve"> proposed methodology for th</w:t>
            </w:r>
            <w:r w:rsidR="00D12208">
              <w:rPr>
                <w:lang w:val="en-US"/>
              </w:rPr>
              <w:t>is criterion</w:t>
            </w:r>
            <w:r>
              <w:rPr>
                <w:lang w:val="en-US"/>
              </w:rPr>
              <w:t>, considering whether it is</w:t>
            </w:r>
            <w:r w:rsidR="00D12208">
              <w:rPr>
                <w:lang w:val="en-US"/>
              </w:rPr>
              <w:t xml:space="preserve"> </w:t>
            </w:r>
            <w:r w:rsidR="00A65E12">
              <w:rPr>
                <w:lang w:val="en-US"/>
              </w:rPr>
              <w:t>practicable and verifiable</w:t>
            </w:r>
            <w:r w:rsidR="00D12208">
              <w:rPr>
                <w:lang w:val="en-US"/>
              </w:rPr>
              <w:t xml:space="preserve">, and </w:t>
            </w:r>
            <w:r>
              <w:rPr>
                <w:lang w:val="en-US"/>
              </w:rPr>
              <w:t>if</w:t>
            </w:r>
            <w:r w:rsidR="00D12208">
              <w:rPr>
                <w:lang w:val="en-US"/>
              </w:rPr>
              <w:t xml:space="preserve"> the rationale </w:t>
            </w:r>
            <w:r>
              <w:rPr>
                <w:lang w:val="en-US"/>
              </w:rPr>
              <w:t xml:space="preserve">is </w:t>
            </w:r>
            <w:r w:rsidR="00D12208">
              <w:rPr>
                <w:lang w:val="en-US"/>
              </w:rPr>
              <w:t>reasonable</w:t>
            </w:r>
            <w:r>
              <w:rPr>
                <w:lang w:val="en-US"/>
              </w:rPr>
              <w:t>.</w:t>
            </w:r>
          </w:p>
          <w:p w14:paraId="478C603B" w14:textId="77777777" w:rsidR="00A65E12" w:rsidRDefault="00A65E12" w:rsidP="005A1546">
            <w:pPr>
              <w:rPr>
                <w:lang w:val="en-US"/>
              </w:rPr>
            </w:pPr>
            <w:r>
              <w:rPr>
                <w:lang w:val="en-US"/>
              </w:rPr>
              <w:t xml:space="preserve">Refer to section </w:t>
            </w:r>
            <w:r w:rsidR="00D12208">
              <w:rPr>
                <w:lang w:val="en-US"/>
              </w:rPr>
              <w:t>3.2.3 in the Criteria document and section 4.3.2 in the Background document.</w:t>
            </w:r>
          </w:p>
          <w:p w14:paraId="59803D44" w14:textId="7A91D459" w:rsidR="00FA1B62" w:rsidRPr="00BC381B" w:rsidRDefault="00FA1B62" w:rsidP="005A1546">
            <w:pPr>
              <w:rPr>
                <w:lang w:val="en-US"/>
              </w:rPr>
            </w:pPr>
          </w:p>
        </w:tc>
        <w:tc>
          <w:tcPr>
            <w:tcW w:w="4962" w:type="dxa"/>
          </w:tcPr>
          <w:p w14:paraId="27BB2E86" w14:textId="77777777" w:rsidR="00E74EB9" w:rsidRDefault="00E74EB9" w:rsidP="005A1546">
            <w:pPr>
              <w:rPr>
                <w:lang w:val="en-US"/>
              </w:rPr>
            </w:pPr>
          </w:p>
        </w:tc>
      </w:tr>
      <w:tr w:rsidR="00C14171" w14:paraId="6369C861" w14:textId="77777777" w:rsidTr="0066150C">
        <w:trPr>
          <w:trHeight w:val="505"/>
        </w:trPr>
        <w:tc>
          <w:tcPr>
            <w:tcW w:w="3964" w:type="dxa"/>
          </w:tcPr>
          <w:p w14:paraId="2AA58669" w14:textId="230ED664" w:rsidR="00C14171" w:rsidRDefault="00FE2597" w:rsidP="005A1546">
            <w:pPr>
              <w:rPr>
                <w:lang w:val="en-US"/>
              </w:rPr>
            </w:pPr>
            <w:r>
              <w:rPr>
                <w:lang w:val="en-US"/>
              </w:rPr>
              <w:t>6</w:t>
            </w:r>
            <w:r w:rsidR="00A24736">
              <w:rPr>
                <w:lang w:val="en-US"/>
              </w:rPr>
              <w:t xml:space="preserve"> – </w:t>
            </w:r>
            <w:r w:rsidR="00C14171">
              <w:rPr>
                <w:lang w:val="en-US"/>
              </w:rPr>
              <w:t xml:space="preserve">For retrofits or installation of measures which reduce emissions, </w:t>
            </w:r>
            <w:r w:rsidR="00DB083B">
              <w:rPr>
                <w:lang w:val="en-US"/>
              </w:rPr>
              <w:t>what might be an appropriate</w:t>
            </w:r>
            <w:r w:rsidR="00C14171">
              <w:rPr>
                <w:lang w:val="en-US"/>
              </w:rPr>
              <w:t xml:space="preserve"> threshold </w:t>
            </w:r>
            <w:r w:rsidR="00DB083B">
              <w:rPr>
                <w:lang w:val="en-US"/>
              </w:rPr>
              <w:t xml:space="preserve">that is </w:t>
            </w:r>
            <w:r w:rsidR="00C14171">
              <w:rPr>
                <w:lang w:val="en-US"/>
              </w:rPr>
              <w:t>suitably ambitious yet realistic for best-practice measures in the sector?</w:t>
            </w:r>
          </w:p>
          <w:p w14:paraId="5574CEFD" w14:textId="2B1E38F2" w:rsidR="00DB083B" w:rsidRDefault="00DB083B" w:rsidP="005A1546">
            <w:pPr>
              <w:rPr>
                <w:lang w:val="en-US"/>
              </w:rPr>
            </w:pPr>
            <w:r>
              <w:rPr>
                <w:lang w:val="en-US"/>
              </w:rPr>
              <w:t xml:space="preserve">For example, would 30-50% reduction be </w:t>
            </w:r>
            <w:r w:rsidR="00FA1B62">
              <w:rPr>
                <w:lang w:val="en-US"/>
              </w:rPr>
              <w:t>a suitable</w:t>
            </w:r>
            <w:r>
              <w:rPr>
                <w:lang w:val="en-US"/>
              </w:rPr>
              <w:t xml:space="preserve"> threshold?</w:t>
            </w:r>
          </w:p>
          <w:p w14:paraId="3A5B77BB" w14:textId="77777777" w:rsidR="00C14171" w:rsidRDefault="00C14171" w:rsidP="005A1546">
            <w:pPr>
              <w:rPr>
                <w:lang w:val="en-US"/>
              </w:rPr>
            </w:pPr>
            <w:r>
              <w:rPr>
                <w:lang w:val="en-US"/>
              </w:rPr>
              <w:t xml:space="preserve">See section </w:t>
            </w:r>
            <w:r w:rsidR="00FA1B62">
              <w:rPr>
                <w:lang w:val="en-US"/>
              </w:rPr>
              <w:t>3.2.2 in the Criteria document and section 4.4.1 in the Background document.</w:t>
            </w:r>
          </w:p>
          <w:p w14:paraId="0F8B7B5E" w14:textId="4C71872C" w:rsidR="00FA1B62" w:rsidRDefault="00FA1B62" w:rsidP="005A1546">
            <w:pPr>
              <w:rPr>
                <w:lang w:val="en-US"/>
              </w:rPr>
            </w:pPr>
          </w:p>
        </w:tc>
        <w:tc>
          <w:tcPr>
            <w:tcW w:w="4962" w:type="dxa"/>
          </w:tcPr>
          <w:p w14:paraId="75088882" w14:textId="77777777" w:rsidR="00C14171" w:rsidRDefault="00C14171" w:rsidP="005A1546">
            <w:pPr>
              <w:rPr>
                <w:lang w:val="en-US"/>
              </w:rPr>
            </w:pPr>
          </w:p>
        </w:tc>
      </w:tr>
      <w:tr w:rsidR="00D12208" w14:paraId="69394C23" w14:textId="77777777" w:rsidTr="0066150C">
        <w:trPr>
          <w:trHeight w:val="505"/>
        </w:trPr>
        <w:tc>
          <w:tcPr>
            <w:tcW w:w="3964" w:type="dxa"/>
          </w:tcPr>
          <w:p w14:paraId="21396849" w14:textId="42F9B2B5" w:rsidR="00D12208" w:rsidRDefault="00FE2597" w:rsidP="005A1546">
            <w:pPr>
              <w:rPr>
                <w:lang w:val="en-US"/>
              </w:rPr>
            </w:pPr>
            <w:r>
              <w:rPr>
                <w:lang w:val="en-US"/>
              </w:rPr>
              <w:t>7</w:t>
            </w:r>
            <w:r w:rsidR="00A24736">
              <w:rPr>
                <w:lang w:val="en-US"/>
              </w:rPr>
              <w:t xml:space="preserve"> – </w:t>
            </w:r>
            <w:r w:rsidR="00432C9B">
              <w:rPr>
                <w:lang w:val="en-US"/>
              </w:rPr>
              <w:t>For the cases where biomass</w:t>
            </w:r>
            <w:r w:rsidR="002F36E6">
              <w:rPr>
                <w:lang w:val="en-US"/>
              </w:rPr>
              <w:t xml:space="preserve"> feedstock (as distinct from biogenic components of waste fuels)</w:t>
            </w:r>
            <w:r w:rsidR="00432C9B">
              <w:rPr>
                <w:lang w:val="en-US"/>
              </w:rPr>
              <w:t xml:space="preserve"> is used as a fuel source for kilns, are the additional criteria on their production </w:t>
            </w:r>
            <w:r w:rsidR="002F36E6">
              <w:rPr>
                <w:lang w:val="en-US"/>
              </w:rPr>
              <w:t>appropriate</w:t>
            </w:r>
            <w:r w:rsidR="00432C9B">
              <w:rPr>
                <w:lang w:val="en-US"/>
              </w:rPr>
              <w:t xml:space="preserve">? </w:t>
            </w:r>
          </w:p>
          <w:p w14:paraId="00499E5A" w14:textId="2254B34B" w:rsidR="00FA1B62" w:rsidRDefault="00FA1B62" w:rsidP="005A1546">
            <w:pPr>
              <w:rPr>
                <w:lang w:val="en-US"/>
              </w:rPr>
            </w:pPr>
            <w:r>
              <w:rPr>
                <w:lang w:val="en-US"/>
              </w:rPr>
              <w:t>Refer to section 3.2.4 in the Criteria document and section 4.4.7 in the Background document.</w:t>
            </w:r>
          </w:p>
          <w:p w14:paraId="288A34FA" w14:textId="25014385" w:rsidR="00432C9B" w:rsidRDefault="00432C9B" w:rsidP="005A1546">
            <w:pPr>
              <w:rPr>
                <w:lang w:val="en-US"/>
              </w:rPr>
            </w:pPr>
            <w:r>
              <w:rPr>
                <w:lang w:val="en-US"/>
              </w:rPr>
              <w:t xml:space="preserve">Considering the limited land </w:t>
            </w:r>
            <w:r w:rsidR="002F36E6">
              <w:rPr>
                <w:lang w:val="en-US"/>
              </w:rPr>
              <w:t>availability</w:t>
            </w:r>
            <w:r>
              <w:rPr>
                <w:lang w:val="en-US"/>
              </w:rPr>
              <w:t xml:space="preserve"> for such feedstocks, is there a timeline on when they should no longer be expected to act as an alternative fuel</w:t>
            </w:r>
            <w:r w:rsidR="002F36E6">
              <w:rPr>
                <w:lang w:val="en-US"/>
              </w:rPr>
              <w:t xml:space="preserve"> in the cement sector</w:t>
            </w:r>
            <w:r>
              <w:rPr>
                <w:lang w:val="en-US"/>
              </w:rPr>
              <w:t xml:space="preserve">? For example, </w:t>
            </w:r>
            <w:r w:rsidR="002F36E6">
              <w:rPr>
                <w:lang w:val="en-US"/>
              </w:rPr>
              <w:t xml:space="preserve">when more </w:t>
            </w:r>
            <w:r w:rsidR="00FA1B62">
              <w:rPr>
                <w:lang w:val="en-US"/>
              </w:rPr>
              <w:t>suitable</w:t>
            </w:r>
            <w:r w:rsidR="002F36E6">
              <w:rPr>
                <w:lang w:val="en-US"/>
              </w:rPr>
              <w:t xml:space="preserve"> alternative fuels become readily available.</w:t>
            </w:r>
          </w:p>
          <w:p w14:paraId="2391CC51" w14:textId="620D051E" w:rsidR="00FA1B62" w:rsidRDefault="00FA1B62" w:rsidP="005A1546">
            <w:pPr>
              <w:rPr>
                <w:lang w:val="en-US"/>
              </w:rPr>
            </w:pPr>
          </w:p>
        </w:tc>
        <w:tc>
          <w:tcPr>
            <w:tcW w:w="4962" w:type="dxa"/>
          </w:tcPr>
          <w:p w14:paraId="2B57FAB2" w14:textId="77777777" w:rsidR="00D12208" w:rsidRDefault="00D12208" w:rsidP="005A1546">
            <w:pPr>
              <w:rPr>
                <w:lang w:val="en-US"/>
              </w:rPr>
            </w:pPr>
          </w:p>
        </w:tc>
      </w:tr>
      <w:tr w:rsidR="00F45409" w14:paraId="42625FC1" w14:textId="77777777" w:rsidTr="0066150C">
        <w:trPr>
          <w:trHeight w:val="505"/>
        </w:trPr>
        <w:tc>
          <w:tcPr>
            <w:tcW w:w="3964" w:type="dxa"/>
          </w:tcPr>
          <w:p w14:paraId="0F881121" w14:textId="68A76768" w:rsidR="00F45409" w:rsidRDefault="00FE2597" w:rsidP="00F45409">
            <w:r>
              <w:rPr>
                <w:lang w:val="en-US"/>
              </w:rPr>
              <w:t>8</w:t>
            </w:r>
            <w:r w:rsidR="00F45409">
              <w:rPr>
                <w:lang w:val="en-US"/>
              </w:rPr>
              <w:t xml:space="preserve"> – </w:t>
            </w:r>
            <w:r w:rsidR="00F45409" w:rsidRPr="00F45409">
              <w:t>Do you agree with the assumptions that underpin the adaptation and resilience requirements? Is there anything else that needs to be considered?</w:t>
            </w:r>
          </w:p>
          <w:p w14:paraId="6A5171D7" w14:textId="77777777" w:rsidR="00F45409" w:rsidRDefault="00630174" w:rsidP="005A1546">
            <w:r>
              <w:t>Consider the additional requirements for Quarry Remediation Plans and Biodiversity Management Plans – are there any other significant environmental risks that the checklist does not already cover?</w:t>
            </w:r>
          </w:p>
          <w:p w14:paraId="1D64E6DF" w14:textId="4B0F2B00" w:rsidR="00630174" w:rsidRDefault="00630174" w:rsidP="005A1546">
            <w:r>
              <w:t>Refer to section 3.</w:t>
            </w:r>
            <w:r w:rsidR="00FA1B62">
              <w:t>4</w:t>
            </w:r>
            <w:r>
              <w:t xml:space="preserve"> in the Criteria document and sections 4.7 and 4.8 in the Background Paper.</w:t>
            </w:r>
          </w:p>
          <w:p w14:paraId="15CA3A91" w14:textId="591F35EF" w:rsidR="00FA1B62" w:rsidRPr="00630174" w:rsidRDefault="00FA1B62" w:rsidP="005A1546"/>
        </w:tc>
        <w:tc>
          <w:tcPr>
            <w:tcW w:w="4962" w:type="dxa"/>
          </w:tcPr>
          <w:p w14:paraId="0A358600" w14:textId="77777777" w:rsidR="00F45409" w:rsidRDefault="00F45409" w:rsidP="005A1546">
            <w:pPr>
              <w:rPr>
                <w:lang w:val="en-US"/>
              </w:rPr>
            </w:pPr>
          </w:p>
        </w:tc>
      </w:tr>
      <w:tr w:rsidR="00C14171" w14:paraId="4D3F0269" w14:textId="77777777" w:rsidTr="0066150C">
        <w:trPr>
          <w:trHeight w:val="505"/>
        </w:trPr>
        <w:tc>
          <w:tcPr>
            <w:tcW w:w="3964" w:type="dxa"/>
          </w:tcPr>
          <w:p w14:paraId="76FF34FC" w14:textId="0412F1C9" w:rsidR="00C14171" w:rsidRDefault="00FE2597" w:rsidP="005A1546">
            <w:pPr>
              <w:rPr>
                <w:lang w:val="en-US"/>
              </w:rPr>
            </w:pPr>
            <w:r>
              <w:rPr>
                <w:lang w:val="en-US"/>
              </w:rPr>
              <w:lastRenderedPageBreak/>
              <w:t>9</w:t>
            </w:r>
            <w:r w:rsidR="00A24736">
              <w:rPr>
                <w:lang w:val="en-US"/>
              </w:rPr>
              <w:t xml:space="preserve"> – </w:t>
            </w:r>
            <w:r w:rsidR="00C14171">
              <w:rPr>
                <w:lang w:val="en-US"/>
              </w:rPr>
              <w:t xml:space="preserve">These Criteria will form the basis for certifying whole cement companies. Acknowledging that few, if any, companies will already lie on or below the transition pathway </w:t>
            </w:r>
            <w:r w:rsidR="00A24736">
              <w:rPr>
                <w:lang w:val="en-US"/>
              </w:rPr>
              <w:t xml:space="preserve">set, there will likely be a grace period where a company </w:t>
            </w:r>
            <w:r w:rsidR="00FA1B62">
              <w:rPr>
                <w:lang w:val="en-US"/>
              </w:rPr>
              <w:t>must</w:t>
            </w:r>
            <w:r w:rsidR="00A24736">
              <w:rPr>
                <w:lang w:val="en-US"/>
              </w:rPr>
              <w:t xml:space="preserve"> move towards that pathway, through reallocation of capital, new investment, retirement of ineligible plants, etc.</w:t>
            </w:r>
          </w:p>
          <w:p w14:paraId="328DD24D" w14:textId="77777777" w:rsidR="00A24736" w:rsidRDefault="00A24736" w:rsidP="005A1546">
            <w:pPr>
              <w:rPr>
                <w:lang w:val="en-US"/>
              </w:rPr>
            </w:pPr>
            <w:r>
              <w:rPr>
                <w:lang w:val="en-US"/>
              </w:rPr>
              <w:t xml:space="preserve">What should that </w:t>
            </w:r>
            <w:proofErr w:type="gramStart"/>
            <w:r>
              <w:rPr>
                <w:lang w:val="en-US"/>
              </w:rPr>
              <w:t>time period</w:t>
            </w:r>
            <w:proofErr w:type="gramEnd"/>
            <w:r>
              <w:rPr>
                <w:lang w:val="en-US"/>
              </w:rPr>
              <w:t xml:space="preserve"> be for the cement industry?</w:t>
            </w:r>
            <w:r w:rsidR="00F45409">
              <w:rPr>
                <w:lang w:val="en-US"/>
              </w:rPr>
              <w:t xml:space="preserve"> Bearing in mind the balance between the need for swift transition today, and technological viability and </w:t>
            </w:r>
            <w:r w:rsidR="00502C01">
              <w:rPr>
                <w:lang w:val="en-US"/>
              </w:rPr>
              <w:t xml:space="preserve">construction / </w:t>
            </w:r>
            <w:r w:rsidR="00F45409">
              <w:rPr>
                <w:lang w:val="en-US"/>
              </w:rPr>
              <w:t>investment cycles.</w:t>
            </w:r>
          </w:p>
          <w:p w14:paraId="623FADFF" w14:textId="51EE0049" w:rsidR="00942C15" w:rsidRDefault="00942C15" w:rsidP="005A1546">
            <w:pPr>
              <w:rPr>
                <w:lang w:val="en-US"/>
              </w:rPr>
            </w:pPr>
          </w:p>
        </w:tc>
        <w:tc>
          <w:tcPr>
            <w:tcW w:w="4962" w:type="dxa"/>
          </w:tcPr>
          <w:p w14:paraId="4002FA09" w14:textId="77777777" w:rsidR="00C14171" w:rsidRDefault="00C14171" w:rsidP="005A1546">
            <w:pPr>
              <w:rPr>
                <w:lang w:val="en-US"/>
              </w:rPr>
            </w:pPr>
          </w:p>
        </w:tc>
      </w:tr>
    </w:tbl>
    <w:p w14:paraId="380DE9BE" w14:textId="77777777" w:rsidR="00E74EB9" w:rsidRDefault="00E74EB9" w:rsidP="00004BA8"/>
    <w:p w14:paraId="5449D019" w14:textId="77777777" w:rsidR="005B0E7F" w:rsidRDefault="005B0E7F"/>
    <w:p w14:paraId="2EC12853" w14:textId="77777777" w:rsidR="005B0E7F" w:rsidRDefault="007D44D6">
      <w:pPr>
        <w:pStyle w:val="Heading3"/>
      </w:pPr>
      <w:r>
        <w:t>Additional comments and feedback</w:t>
      </w:r>
    </w:p>
    <w:p w14:paraId="4334B871" w14:textId="77777777" w:rsidR="005B0E7F" w:rsidRDefault="007D44D6">
      <w:r>
        <w:t>Please provide all other comments on feedback using the format below.</w:t>
      </w:r>
    </w:p>
    <w:p w14:paraId="58949B0B" w14:textId="6B1DEAB3" w:rsidR="005B0E7F" w:rsidRDefault="007D44D6">
      <w:r>
        <w:t>Consider if there are good practices that you are aware of that are not referred to, additional data sources that would be helpful or further suggestions that could be included.</w:t>
      </w:r>
      <w:r w:rsidR="00F45409">
        <w:t xml:space="preserve"> Comments below may answer the following example questions:</w:t>
      </w:r>
    </w:p>
    <w:p w14:paraId="15F9DFA8" w14:textId="21D0AE3D" w:rsidR="00F45409" w:rsidRPr="00F45409" w:rsidRDefault="00F45409" w:rsidP="00F45409">
      <w:pPr>
        <w:numPr>
          <w:ilvl w:val="0"/>
          <w:numId w:val="1"/>
        </w:numPr>
      </w:pPr>
      <w:r w:rsidRPr="00F45409">
        <w:t xml:space="preserve">Do the criteria fulfil low carbon aspirations for the </w:t>
      </w:r>
      <w:r>
        <w:t>Cement</w:t>
      </w:r>
      <w:r w:rsidRPr="00F45409">
        <w:t xml:space="preserve"> sector?  If not, please provide reasons and examples</w:t>
      </w:r>
    </w:p>
    <w:p w14:paraId="2E05F890" w14:textId="238137D8" w:rsidR="00F45409" w:rsidRPr="00F45409" w:rsidRDefault="00F45409" w:rsidP="00F45409">
      <w:pPr>
        <w:numPr>
          <w:ilvl w:val="0"/>
          <w:numId w:val="1"/>
        </w:numPr>
      </w:pPr>
      <w:r w:rsidRPr="00F45409">
        <w:t>Are the assumptions and science underpinning this work robust</w:t>
      </w:r>
      <w:r w:rsidR="008605D6">
        <w:t>, an</w:t>
      </w:r>
      <w:r w:rsidRPr="00F45409">
        <w:t xml:space="preserve">d </w:t>
      </w:r>
      <w:r w:rsidR="008605D6">
        <w:t xml:space="preserve">reflect </w:t>
      </w:r>
      <w:r w:rsidRPr="00F45409">
        <w:t>the most appropriate and up-to-date criteria? Please provide examples of how to improve and specific examples if anything is missing.</w:t>
      </w:r>
    </w:p>
    <w:p w14:paraId="361D7F8F" w14:textId="77777777" w:rsidR="00F45409" w:rsidRPr="00F45409" w:rsidRDefault="00F45409" w:rsidP="00F45409">
      <w:pPr>
        <w:numPr>
          <w:ilvl w:val="0"/>
          <w:numId w:val="1"/>
        </w:numPr>
      </w:pPr>
      <w:r w:rsidRPr="00F45409">
        <w:t>Do you agree with the assumptions that underpin the mitigation requirements? Is there anything else that needs to be considered? Please, provide as much detail or reference relevant scientific studies or other evidence to substantiate your response.</w:t>
      </w:r>
    </w:p>
    <w:p w14:paraId="75C1C917" w14:textId="77777777" w:rsidR="00F45409" w:rsidRDefault="00F45409"/>
    <w:tbl>
      <w:tblPr>
        <w:tblStyle w:val="a"/>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2551"/>
        <w:gridCol w:w="5245"/>
      </w:tblGrid>
      <w:tr w:rsidR="00A24736" w14:paraId="34EC0C62" w14:textId="77777777" w:rsidTr="00A24736">
        <w:tc>
          <w:tcPr>
            <w:tcW w:w="988" w:type="dxa"/>
          </w:tcPr>
          <w:p w14:paraId="580CE696" w14:textId="77777777" w:rsidR="00A24736" w:rsidRDefault="00A24736">
            <w:r>
              <w:t>Point number</w:t>
            </w:r>
          </w:p>
        </w:tc>
        <w:tc>
          <w:tcPr>
            <w:tcW w:w="2551" w:type="dxa"/>
          </w:tcPr>
          <w:p w14:paraId="01F6F06C" w14:textId="77777777" w:rsidR="00A24736" w:rsidRDefault="00A24736">
            <w:r>
              <w:t>Page number and section description</w:t>
            </w:r>
          </w:p>
        </w:tc>
        <w:tc>
          <w:tcPr>
            <w:tcW w:w="5245" w:type="dxa"/>
          </w:tcPr>
          <w:p w14:paraId="7972103C" w14:textId="19AEF7E9" w:rsidR="00A24736" w:rsidRDefault="00A24736">
            <w:r>
              <w:t>Comments and action proposed</w:t>
            </w:r>
          </w:p>
        </w:tc>
      </w:tr>
      <w:tr w:rsidR="00A24736" w14:paraId="2AAED227" w14:textId="77777777" w:rsidTr="0086218B">
        <w:tc>
          <w:tcPr>
            <w:tcW w:w="988" w:type="dxa"/>
          </w:tcPr>
          <w:p w14:paraId="5EA3EAC2" w14:textId="77777777" w:rsidR="00A24736" w:rsidRDefault="00A24736">
            <w:r>
              <w:t>1</w:t>
            </w:r>
          </w:p>
        </w:tc>
        <w:tc>
          <w:tcPr>
            <w:tcW w:w="2551" w:type="dxa"/>
            <w:shd w:val="clear" w:color="auto" w:fill="auto"/>
          </w:tcPr>
          <w:p w14:paraId="5172088A" w14:textId="77777777" w:rsidR="00A24736" w:rsidRDefault="00A24736"/>
        </w:tc>
        <w:tc>
          <w:tcPr>
            <w:tcW w:w="5245" w:type="dxa"/>
            <w:shd w:val="clear" w:color="auto" w:fill="auto"/>
          </w:tcPr>
          <w:p w14:paraId="1EBE7DD6" w14:textId="77777777" w:rsidR="00A24736" w:rsidRDefault="00A24736"/>
        </w:tc>
      </w:tr>
      <w:tr w:rsidR="00A24736" w14:paraId="3FF40A7A" w14:textId="77777777" w:rsidTr="0086218B">
        <w:tc>
          <w:tcPr>
            <w:tcW w:w="988" w:type="dxa"/>
          </w:tcPr>
          <w:p w14:paraId="0FC0E8FA" w14:textId="77777777" w:rsidR="00A24736" w:rsidRDefault="00A24736">
            <w:r>
              <w:t>2</w:t>
            </w:r>
          </w:p>
        </w:tc>
        <w:tc>
          <w:tcPr>
            <w:tcW w:w="2551" w:type="dxa"/>
            <w:shd w:val="clear" w:color="auto" w:fill="auto"/>
          </w:tcPr>
          <w:p w14:paraId="76B68B3F" w14:textId="77777777" w:rsidR="00A24736" w:rsidRDefault="00A24736"/>
        </w:tc>
        <w:tc>
          <w:tcPr>
            <w:tcW w:w="5245" w:type="dxa"/>
            <w:shd w:val="clear" w:color="auto" w:fill="auto"/>
          </w:tcPr>
          <w:p w14:paraId="5408D437" w14:textId="77777777" w:rsidR="00A24736" w:rsidRDefault="00A24736"/>
        </w:tc>
      </w:tr>
      <w:tr w:rsidR="00A24736" w14:paraId="30D4FFBD" w14:textId="77777777" w:rsidTr="0086218B">
        <w:tc>
          <w:tcPr>
            <w:tcW w:w="988" w:type="dxa"/>
          </w:tcPr>
          <w:p w14:paraId="1042C2AA" w14:textId="77777777" w:rsidR="00A24736" w:rsidRDefault="00A24736"/>
        </w:tc>
        <w:tc>
          <w:tcPr>
            <w:tcW w:w="2551" w:type="dxa"/>
            <w:shd w:val="clear" w:color="auto" w:fill="auto"/>
          </w:tcPr>
          <w:p w14:paraId="6C32AD27" w14:textId="77777777" w:rsidR="00A24736" w:rsidRDefault="00A24736"/>
        </w:tc>
        <w:tc>
          <w:tcPr>
            <w:tcW w:w="5245" w:type="dxa"/>
            <w:shd w:val="clear" w:color="auto" w:fill="auto"/>
          </w:tcPr>
          <w:p w14:paraId="6F299040" w14:textId="77777777" w:rsidR="00A24736" w:rsidRDefault="00A24736"/>
        </w:tc>
      </w:tr>
    </w:tbl>
    <w:p w14:paraId="7663BA97" w14:textId="77777777" w:rsidR="005B0E7F" w:rsidRDefault="005B0E7F"/>
    <w:p w14:paraId="6AFA3740" w14:textId="77777777" w:rsidR="005B0E7F" w:rsidRDefault="005B0E7F"/>
    <w:sectPr w:rsidR="005B0E7F">
      <w:footerReference w:type="even" r:id="rId10"/>
      <w:footerReference w:type="default" r:id="rId11"/>
      <w:headerReference w:type="first" r:id="rId12"/>
      <w:pgSz w:w="11901" w:h="16817"/>
      <w:pgMar w:top="1418" w:right="1418" w:bottom="1418" w:left="1418" w:header="709" w:footer="2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E5247" w14:textId="77777777" w:rsidR="001B3879" w:rsidRDefault="001B3879">
      <w:pPr>
        <w:spacing w:before="0" w:after="0" w:line="240" w:lineRule="auto"/>
      </w:pPr>
      <w:r>
        <w:separator/>
      </w:r>
    </w:p>
  </w:endnote>
  <w:endnote w:type="continuationSeparator" w:id="0">
    <w:p w14:paraId="7AFB1866" w14:textId="77777777" w:rsidR="001B3879" w:rsidRDefault="001B387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Headings CS)">
    <w:altName w:val="Times New Roman"/>
    <w:charset w:val="00"/>
    <w:family w:val="roman"/>
    <w:pitch w:val="default"/>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B9A87" w14:textId="77777777" w:rsidR="005B0E7F" w:rsidRDefault="007D44D6">
    <w:pPr>
      <w:pBdr>
        <w:top w:val="nil"/>
        <w:left w:val="nil"/>
        <w:bottom w:val="nil"/>
        <w:right w:val="nil"/>
        <w:between w:val="nil"/>
      </w:pBdr>
      <w:tabs>
        <w:tab w:val="center" w:pos="4513"/>
        <w:tab w:val="right" w:pos="9026"/>
      </w:tabs>
      <w:spacing w:line="240" w:lineRule="auto"/>
      <w:jc w:val="right"/>
      <w:rPr>
        <w:rFonts w:ascii="Calibri" w:hAnsi="Calibri"/>
        <w:color w:val="000000"/>
        <w:szCs w:val="20"/>
      </w:rPr>
    </w:pPr>
    <w:r>
      <w:rPr>
        <w:rFonts w:ascii="Calibri" w:hAnsi="Calibri"/>
        <w:color w:val="000000"/>
        <w:szCs w:val="20"/>
      </w:rPr>
      <w:fldChar w:fldCharType="begin"/>
    </w:r>
    <w:r>
      <w:rPr>
        <w:rFonts w:ascii="Calibri" w:hAnsi="Calibri"/>
        <w:color w:val="000000"/>
        <w:szCs w:val="20"/>
      </w:rPr>
      <w:instrText>PAGE</w:instrText>
    </w:r>
    <w:r w:rsidR="001B3879">
      <w:rPr>
        <w:rFonts w:ascii="Calibri" w:hAnsi="Calibri"/>
        <w:color w:val="000000"/>
        <w:szCs w:val="20"/>
      </w:rPr>
      <w:fldChar w:fldCharType="separate"/>
    </w:r>
    <w:r>
      <w:rPr>
        <w:rFonts w:ascii="Calibri" w:hAnsi="Calibri"/>
        <w:color w:val="000000"/>
        <w:szCs w:val="20"/>
      </w:rPr>
      <w:fldChar w:fldCharType="end"/>
    </w:r>
  </w:p>
  <w:p w14:paraId="68E412DE" w14:textId="77777777" w:rsidR="005B0E7F" w:rsidRDefault="005B0E7F">
    <w:pPr>
      <w:pBdr>
        <w:top w:val="nil"/>
        <w:left w:val="nil"/>
        <w:bottom w:val="nil"/>
        <w:right w:val="nil"/>
        <w:between w:val="nil"/>
      </w:pBdr>
      <w:tabs>
        <w:tab w:val="center" w:pos="4513"/>
        <w:tab w:val="right" w:pos="9026"/>
      </w:tabs>
      <w:spacing w:line="240" w:lineRule="auto"/>
      <w:ind w:right="360"/>
      <w:rPr>
        <w:rFonts w:ascii="Calibri" w:hAnsi="Calibri"/>
        <w:color w:val="00000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2FCD4" w14:textId="640ADC4D" w:rsidR="005B0E7F" w:rsidRDefault="007D44D6">
    <w:pPr>
      <w:pBdr>
        <w:top w:val="nil"/>
        <w:left w:val="nil"/>
        <w:bottom w:val="nil"/>
        <w:right w:val="nil"/>
        <w:between w:val="nil"/>
      </w:pBdr>
      <w:tabs>
        <w:tab w:val="center" w:pos="4513"/>
        <w:tab w:val="right" w:pos="9026"/>
      </w:tabs>
      <w:spacing w:line="240" w:lineRule="auto"/>
      <w:jc w:val="right"/>
      <w:rPr>
        <w:rFonts w:ascii="Calibri" w:hAnsi="Calibri"/>
        <w:color w:val="000000"/>
        <w:szCs w:val="20"/>
      </w:rPr>
    </w:pPr>
    <w:r>
      <w:rPr>
        <w:rFonts w:ascii="Calibri" w:hAnsi="Calibri"/>
        <w:color w:val="000000"/>
        <w:szCs w:val="20"/>
      </w:rPr>
      <w:fldChar w:fldCharType="begin"/>
    </w:r>
    <w:r>
      <w:rPr>
        <w:rFonts w:ascii="Calibri" w:hAnsi="Calibri"/>
        <w:color w:val="000000"/>
        <w:szCs w:val="20"/>
      </w:rPr>
      <w:instrText>PAGE</w:instrText>
    </w:r>
    <w:r>
      <w:rPr>
        <w:rFonts w:ascii="Calibri" w:hAnsi="Calibri"/>
        <w:color w:val="000000"/>
        <w:szCs w:val="20"/>
      </w:rPr>
      <w:fldChar w:fldCharType="separate"/>
    </w:r>
    <w:r w:rsidR="00004BA8">
      <w:rPr>
        <w:rFonts w:ascii="Calibri" w:hAnsi="Calibri"/>
        <w:noProof/>
        <w:color w:val="000000"/>
        <w:szCs w:val="20"/>
      </w:rPr>
      <w:t>2</w:t>
    </w:r>
    <w:r>
      <w:rPr>
        <w:rFonts w:ascii="Calibri" w:hAnsi="Calibri"/>
        <w:color w:val="000000"/>
        <w:szCs w:val="20"/>
      </w:rPr>
      <w:fldChar w:fldCharType="end"/>
    </w:r>
  </w:p>
  <w:p w14:paraId="5BFA0E75" w14:textId="0859DFD2" w:rsidR="005B0E7F" w:rsidRDefault="008605D6">
    <w:pPr>
      <w:ind w:right="360"/>
    </w:pPr>
    <w:r>
      <w:rPr>
        <w:rFonts w:ascii="Calibri" w:hAnsi="Calibri"/>
        <w:b/>
      </w:rPr>
      <w:t>Public Consultation Form</w:t>
    </w:r>
    <w:r w:rsidR="007D44D6">
      <w:t xml:space="preserve"> - Climate Bonds Initiative </w:t>
    </w:r>
  </w:p>
  <w:p w14:paraId="23097640" w14:textId="77777777" w:rsidR="005B0E7F" w:rsidRDefault="005B0E7F">
    <w:pPr>
      <w:pBdr>
        <w:top w:val="nil"/>
        <w:left w:val="nil"/>
        <w:bottom w:val="nil"/>
        <w:right w:val="nil"/>
        <w:between w:val="nil"/>
      </w:pBdr>
      <w:tabs>
        <w:tab w:val="center" w:pos="4513"/>
        <w:tab w:val="right" w:pos="9026"/>
      </w:tabs>
      <w:spacing w:line="240" w:lineRule="auto"/>
      <w:rPr>
        <w:rFonts w:ascii="Calibri" w:hAnsi="Calibri"/>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1C4CD" w14:textId="77777777" w:rsidR="001B3879" w:rsidRDefault="001B3879">
      <w:pPr>
        <w:spacing w:before="0" w:after="0" w:line="240" w:lineRule="auto"/>
      </w:pPr>
      <w:r>
        <w:separator/>
      </w:r>
    </w:p>
  </w:footnote>
  <w:footnote w:type="continuationSeparator" w:id="0">
    <w:p w14:paraId="59776DFD" w14:textId="77777777" w:rsidR="001B3879" w:rsidRDefault="001B387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BAD75" w14:textId="01BE1748" w:rsidR="00963619" w:rsidRDefault="00963619">
    <w:pPr>
      <w:pStyle w:val="Header"/>
    </w:pPr>
    <w:r>
      <w:rPr>
        <w:noProof/>
      </w:rPr>
      <w:drawing>
        <wp:anchor distT="0" distB="0" distL="114300" distR="114300" simplePos="0" relativeHeight="251659264" behindDoc="0" locked="0" layoutInCell="1" hidden="0" allowOverlap="1" wp14:anchorId="748FCBE4" wp14:editId="4A073E2A">
          <wp:simplePos x="0" y="0"/>
          <wp:positionH relativeFrom="margin">
            <wp:posOffset>4165600</wp:posOffset>
          </wp:positionH>
          <wp:positionV relativeFrom="margin">
            <wp:posOffset>-552450</wp:posOffset>
          </wp:positionV>
          <wp:extent cx="1848485" cy="367665"/>
          <wp:effectExtent l="0" t="0" r="0" b="0"/>
          <wp:wrapSquare wrapText="bothSides" distT="0" distB="0" distL="114300" distR="11430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48485" cy="36766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CF0A4E"/>
    <w:multiLevelType w:val="multilevel"/>
    <w:tmpl w:val="1E10A67C"/>
    <w:lvl w:ilvl="0">
      <w:start w:val="1"/>
      <w:numFmt w:val="decimal"/>
      <w:pStyle w:val="Bullets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E7F"/>
    <w:rsid w:val="00004BA8"/>
    <w:rsid w:val="001B3879"/>
    <w:rsid w:val="00274FFE"/>
    <w:rsid w:val="00282B6A"/>
    <w:rsid w:val="002F36E6"/>
    <w:rsid w:val="00432C9B"/>
    <w:rsid w:val="00467568"/>
    <w:rsid w:val="00502C01"/>
    <w:rsid w:val="005603FC"/>
    <w:rsid w:val="005A1546"/>
    <w:rsid w:val="005B0E7F"/>
    <w:rsid w:val="00630174"/>
    <w:rsid w:val="00641E6F"/>
    <w:rsid w:val="0066150C"/>
    <w:rsid w:val="007023DB"/>
    <w:rsid w:val="007D44D6"/>
    <w:rsid w:val="008605D6"/>
    <w:rsid w:val="0086218B"/>
    <w:rsid w:val="00942C15"/>
    <w:rsid w:val="00963619"/>
    <w:rsid w:val="00A24736"/>
    <w:rsid w:val="00A65E12"/>
    <w:rsid w:val="00AC30D6"/>
    <w:rsid w:val="00AE2709"/>
    <w:rsid w:val="00AE53A8"/>
    <w:rsid w:val="00BF24DB"/>
    <w:rsid w:val="00C14171"/>
    <w:rsid w:val="00C30601"/>
    <w:rsid w:val="00D12208"/>
    <w:rsid w:val="00DB083B"/>
    <w:rsid w:val="00E74EB9"/>
    <w:rsid w:val="00E91B89"/>
    <w:rsid w:val="00F45409"/>
    <w:rsid w:val="00FA1B62"/>
    <w:rsid w:val="00FE2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79676"/>
  <w15:docId w15:val="{9A37B188-F0AD-4415-A8E6-038E40F33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en-GB"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502"/>
    <w:pPr>
      <w:spacing w:line="240" w:lineRule="exact"/>
    </w:pPr>
    <w:rPr>
      <w:rFonts w:asciiTheme="majorHAnsi" w:hAnsiTheme="majorHAnsi"/>
      <w:szCs w:val="24"/>
    </w:rPr>
  </w:style>
  <w:style w:type="paragraph" w:styleId="Heading1">
    <w:name w:val="heading 1"/>
    <w:basedOn w:val="Normal"/>
    <w:next w:val="Normal"/>
    <w:link w:val="Heading1Char"/>
    <w:uiPriority w:val="9"/>
    <w:qFormat/>
    <w:rsid w:val="0094445E"/>
    <w:pPr>
      <w:keepNext/>
      <w:keepLines/>
      <w:pageBreakBefore/>
      <w:spacing w:before="480" w:after="480" w:line="520" w:lineRule="exact"/>
      <w:outlineLvl w:val="0"/>
    </w:pPr>
    <w:rPr>
      <w:rFonts w:asciiTheme="minorHAnsi" w:eastAsiaTheme="majorEastAsia" w:hAnsiTheme="minorHAnsi" w:cs="Times New Roman (Headings CS)"/>
      <w:b/>
      <w:color w:val="4472C4" w:themeColor="accent1"/>
      <w:sz w:val="48"/>
      <w:szCs w:val="32"/>
    </w:rPr>
  </w:style>
  <w:style w:type="paragraph" w:styleId="Heading2">
    <w:name w:val="heading 2"/>
    <w:basedOn w:val="Normal"/>
    <w:next w:val="Normal"/>
    <w:link w:val="Heading2Char"/>
    <w:uiPriority w:val="9"/>
    <w:unhideWhenUsed/>
    <w:qFormat/>
    <w:rsid w:val="009A1502"/>
    <w:pPr>
      <w:keepNext/>
      <w:keepLines/>
      <w:spacing w:before="160" w:line="360" w:lineRule="exact"/>
      <w:outlineLvl w:val="1"/>
    </w:pPr>
    <w:rPr>
      <w:rFonts w:asciiTheme="minorHAnsi" w:eastAsiaTheme="majorEastAsia" w:hAnsiTheme="minorHAnsi" w:cs="Times New Roman (Headings CS)"/>
      <w:b/>
      <w:color w:val="4472C4" w:themeColor="accent1"/>
      <w:sz w:val="32"/>
      <w:szCs w:val="26"/>
    </w:rPr>
  </w:style>
  <w:style w:type="paragraph" w:styleId="Heading3">
    <w:name w:val="heading 3"/>
    <w:basedOn w:val="Normal"/>
    <w:next w:val="Normal"/>
    <w:link w:val="Heading3Char"/>
    <w:uiPriority w:val="9"/>
    <w:unhideWhenUsed/>
    <w:qFormat/>
    <w:rsid w:val="009A1502"/>
    <w:pPr>
      <w:keepNext/>
      <w:keepLines/>
      <w:spacing w:before="240"/>
      <w:outlineLvl w:val="2"/>
    </w:pPr>
    <w:rPr>
      <w:rFonts w:asciiTheme="minorHAnsi" w:eastAsiaTheme="majorEastAsia" w:hAnsiTheme="minorHAnsi" w:cstheme="majorBidi"/>
      <w:b/>
      <w:color w:val="4472C4" w:themeColor="accent1"/>
      <w:sz w:val="24"/>
    </w:rPr>
  </w:style>
  <w:style w:type="paragraph" w:styleId="Heading4">
    <w:name w:val="heading 4"/>
    <w:basedOn w:val="Normal"/>
    <w:next w:val="Normal"/>
    <w:link w:val="Heading4Char"/>
    <w:uiPriority w:val="9"/>
    <w:semiHidden/>
    <w:unhideWhenUsed/>
    <w:qFormat/>
    <w:rsid w:val="009A1502"/>
    <w:pPr>
      <w:keepNext/>
      <w:keepLines/>
      <w:spacing w:before="40" w:after="100"/>
      <w:outlineLvl w:val="3"/>
    </w:pPr>
    <w:rPr>
      <w:rFonts w:asciiTheme="minorHAnsi" w:eastAsiaTheme="majorEastAsia" w:hAnsiTheme="minorHAnsi" w:cs="Times New Roman (Headings CS)"/>
      <w:b/>
      <w:iCs/>
      <w:color w:val="4472C4" w:themeColor="accent1"/>
    </w:rPr>
  </w:style>
  <w:style w:type="paragraph" w:styleId="Heading5">
    <w:name w:val="heading 5"/>
    <w:basedOn w:val="Normal"/>
    <w:next w:val="Normal"/>
    <w:link w:val="Heading5Char"/>
    <w:uiPriority w:val="9"/>
    <w:semiHidden/>
    <w:unhideWhenUsed/>
    <w:qFormat/>
    <w:rsid w:val="009A1502"/>
    <w:pPr>
      <w:keepNext/>
      <w:keepLines/>
      <w:spacing w:before="40" w:line="360" w:lineRule="exact"/>
      <w:outlineLvl w:val="4"/>
    </w:pPr>
    <w:rPr>
      <w:rFonts w:eastAsiaTheme="majorEastAsia" w:cstheme="majorBidi"/>
      <w:color w:val="AEAAAA" w:themeColor="background2" w:themeShade="BF"/>
      <w:sz w:val="3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A1502"/>
    <w:pPr>
      <w:spacing w:before="0" w:after="0" w:line="760" w:lineRule="exact"/>
      <w:contextualSpacing/>
    </w:pPr>
    <w:rPr>
      <w:rFonts w:asciiTheme="minorHAnsi" w:eastAsiaTheme="majorEastAsia" w:hAnsiTheme="minorHAnsi" w:cs="Times New Roman (Headings CS)"/>
      <w:b/>
      <w:color w:val="4472C4" w:themeColor="accent1"/>
      <w:kern w:val="28"/>
      <w:sz w:val="72"/>
      <w:szCs w:val="56"/>
    </w:rPr>
  </w:style>
  <w:style w:type="character" w:customStyle="1" w:styleId="Heading1Char">
    <w:name w:val="Heading 1 Char"/>
    <w:basedOn w:val="DefaultParagraphFont"/>
    <w:link w:val="Heading1"/>
    <w:uiPriority w:val="9"/>
    <w:rsid w:val="0094445E"/>
    <w:rPr>
      <w:rFonts w:eastAsiaTheme="majorEastAsia" w:cs="Times New Roman (Headings CS)"/>
      <w:b/>
      <w:color w:val="4472C4" w:themeColor="accent1"/>
      <w:sz w:val="48"/>
      <w:szCs w:val="32"/>
    </w:rPr>
  </w:style>
  <w:style w:type="character" w:customStyle="1" w:styleId="Heading2Char">
    <w:name w:val="Heading 2 Char"/>
    <w:basedOn w:val="DefaultParagraphFont"/>
    <w:link w:val="Heading2"/>
    <w:uiPriority w:val="9"/>
    <w:rsid w:val="009A1502"/>
    <w:rPr>
      <w:rFonts w:eastAsiaTheme="majorEastAsia" w:cs="Times New Roman (Headings CS)"/>
      <w:b/>
      <w:color w:val="4472C4" w:themeColor="accent1"/>
      <w:sz w:val="32"/>
      <w:szCs w:val="26"/>
    </w:rPr>
  </w:style>
  <w:style w:type="character" w:customStyle="1" w:styleId="Heading3Char">
    <w:name w:val="Heading 3 Char"/>
    <w:basedOn w:val="DefaultParagraphFont"/>
    <w:link w:val="Heading3"/>
    <w:uiPriority w:val="9"/>
    <w:rsid w:val="009A1502"/>
    <w:rPr>
      <w:rFonts w:eastAsiaTheme="majorEastAsia" w:cstheme="majorBidi"/>
      <w:b/>
      <w:color w:val="4472C4" w:themeColor="accent1"/>
      <w:sz w:val="24"/>
      <w:szCs w:val="24"/>
    </w:rPr>
  </w:style>
  <w:style w:type="character" w:customStyle="1" w:styleId="Heading4Char">
    <w:name w:val="Heading 4 Char"/>
    <w:basedOn w:val="DefaultParagraphFont"/>
    <w:link w:val="Heading4"/>
    <w:uiPriority w:val="9"/>
    <w:rsid w:val="009A1502"/>
    <w:rPr>
      <w:rFonts w:eastAsiaTheme="majorEastAsia" w:cs="Times New Roman (Headings CS)"/>
      <w:b/>
      <w:iCs/>
      <w:color w:val="4472C4" w:themeColor="accent1"/>
      <w:sz w:val="20"/>
      <w:szCs w:val="24"/>
    </w:rPr>
  </w:style>
  <w:style w:type="character" w:customStyle="1" w:styleId="Heading5Char">
    <w:name w:val="Heading 5 Char"/>
    <w:basedOn w:val="DefaultParagraphFont"/>
    <w:link w:val="Heading5"/>
    <w:uiPriority w:val="9"/>
    <w:rsid w:val="009A1502"/>
    <w:rPr>
      <w:rFonts w:asciiTheme="majorHAnsi" w:eastAsiaTheme="majorEastAsia" w:hAnsiTheme="majorHAnsi" w:cstheme="majorBidi"/>
      <w:color w:val="AEAAAA" w:themeColor="background2" w:themeShade="BF"/>
      <w:sz w:val="32"/>
      <w:szCs w:val="24"/>
    </w:rPr>
  </w:style>
  <w:style w:type="character" w:styleId="Strong">
    <w:name w:val="Strong"/>
    <w:basedOn w:val="DefaultParagraphFont"/>
    <w:uiPriority w:val="22"/>
    <w:qFormat/>
    <w:rsid w:val="009A1502"/>
    <w:rPr>
      <w:rFonts w:asciiTheme="minorHAnsi" w:hAnsiTheme="minorHAnsi"/>
      <w:b/>
      <w:bCs/>
    </w:rPr>
  </w:style>
  <w:style w:type="paragraph" w:styleId="Subtitle">
    <w:name w:val="Subtitle"/>
    <w:basedOn w:val="Normal"/>
    <w:next w:val="Normal"/>
    <w:link w:val="SubtitleChar"/>
    <w:uiPriority w:val="11"/>
    <w:qFormat/>
    <w:pPr>
      <w:spacing w:before="0" w:after="160" w:line="760" w:lineRule="auto"/>
    </w:pPr>
    <w:rPr>
      <w:color w:val="AEAAAA"/>
      <w:sz w:val="72"/>
      <w:szCs w:val="72"/>
    </w:rPr>
  </w:style>
  <w:style w:type="character" w:customStyle="1" w:styleId="SubtitleChar">
    <w:name w:val="Subtitle Char"/>
    <w:basedOn w:val="DefaultParagraphFont"/>
    <w:link w:val="Subtitle"/>
    <w:uiPriority w:val="11"/>
    <w:rsid w:val="009A1502"/>
    <w:rPr>
      <w:rFonts w:asciiTheme="majorHAnsi" w:eastAsiaTheme="minorEastAsia" w:hAnsiTheme="majorHAnsi" w:cs="Times New Roman (Body CS)"/>
      <w:color w:val="AEAAAA" w:themeColor="background2" w:themeShade="BF"/>
      <w:sz w:val="72"/>
    </w:rPr>
  </w:style>
  <w:style w:type="paragraph" w:styleId="Footer">
    <w:name w:val="footer"/>
    <w:basedOn w:val="Normal"/>
    <w:link w:val="FooterChar"/>
    <w:uiPriority w:val="99"/>
    <w:unhideWhenUsed/>
    <w:rsid w:val="009A1502"/>
    <w:pPr>
      <w:tabs>
        <w:tab w:val="center" w:pos="4513"/>
        <w:tab w:val="right" w:pos="9026"/>
      </w:tabs>
    </w:pPr>
    <w:rPr>
      <w:color w:val="000000" w:themeColor="text1"/>
    </w:rPr>
  </w:style>
  <w:style w:type="character" w:customStyle="1" w:styleId="FooterChar">
    <w:name w:val="Footer Char"/>
    <w:basedOn w:val="DefaultParagraphFont"/>
    <w:link w:val="Footer"/>
    <w:uiPriority w:val="99"/>
    <w:rsid w:val="009A1502"/>
    <w:rPr>
      <w:rFonts w:asciiTheme="majorHAnsi" w:hAnsiTheme="majorHAnsi"/>
      <w:color w:val="000000" w:themeColor="text1"/>
      <w:sz w:val="20"/>
      <w:szCs w:val="24"/>
    </w:rPr>
  </w:style>
  <w:style w:type="character" w:styleId="PageNumber">
    <w:name w:val="page number"/>
    <w:basedOn w:val="DefaultParagraphFont"/>
    <w:uiPriority w:val="99"/>
    <w:semiHidden/>
    <w:unhideWhenUsed/>
    <w:rsid w:val="009A1502"/>
  </w:style>
  <w:style w:type="paragraph" w:customStyle="1" w:styleId="Bullets1">
    <w:name w:val="Bullets 1"/>
    <w:basedOn w:val="ListParagraph"/>
    <w:qFormat/>
    <w:rsid w:val="009A1502"/>
    <w:pPr>
      <w:numPr>
        <w:numId w:val="1"/>
      </w:numPr>
      <w:tabs>
        <w:tab w:val="num" w:pos="360"/>
      </w:tabs>
      <w:ind w:firstLine="0"/>
    </w:pPr>
    <w:rPr>
      <w:rFonts w:cs="Times New Roman (Body CS)"/>
    </w:rPr>
  </w:style>
  <w:style w:type="character" w:customStyle="1" w:styleId="TitleChar">
    <w:name w:val="Title Char"/>
    <w:basedOn w:val="DefaultParagraphFont"/>
    <w:link w:val="Title"/>
    <w:uiPriority w:val="10"/>
    <w:rsid w:val="009A1502"/>
    <w:rPr>
      <w:rFonts w:eastAsiaTheme="majorEastAsia" w:cs="Times New Roman (Headings CS)"/>
      <w:b/>
      <w:color w:val="4472C4" w:themeColor="accent1"/>
      <w:kern w:val="28"/>
      <w:sz w:val="72"/>
      <w:szCs w:val="56"/>
    </w:rPr>
  </w:style>
  <w:style w:type="paragraph" w:customStyle="1" w:styleId="Author">
    <w:name w:val="Author"/>
    <w:basedOn w:val="Normal"/>
    <w:qFormat/>
    <w:rsid w:val="009A1502"/>
    <w:pPr>
      <w:pBdr>
        <w:top w:val="single" w:sz="4" w:space="16" w:color="auto"/>
      </w:pBdr>
      <w:spacing w:line="360" w:lineRule="exact"/>
    </w:pPr>
    <w:rPr>
      <w:sz w:val="32"/>
    </w:rPr>
  </w:style>
  <w:style w:type="paragraph" w:styleId="FootnoteText">
    <w:name w:val="footnote text"/>
    <w:basedOn w:val="Normal"/>
    <w:link w:val="FootnoteTextChar"/>
    <w:uiPriority w:val="99"/>
    <w:semiHidden/>
    <w:unhideWhenUsed/>
    <w:rsid w:val="009A1502"/>
    <w:pPr>
      <w:spacing w:before="0" w:after="0" w:line="240" w:lineRule="auto"/>
    </w:pPr>
    <w:rPr>
      <w:rFonts w:cs="Times New Roman (Body CS)"/>
      <w:sz w:val="13"/>
      <w:szCs w:val="20"/>
    </w:rPr>
  </w:style>
  <w:style w:type="character" w:customStyle="1" w:styleId="FootnoteTextChar">
    <w:name w:val="Footnote Text Char"/>
    <w:basedOn w:val="DefaultParagraphFont"/>
    <w:link w:val="FootnoteText"/>
    <w:uiPriority w:val="99"/>
    <w:semiHidden/>
    <w:rsid w:val="009A1502"/>
    <w:rPr>
      <w:rFonts w:asciiTheme="majorHAnsi" w:hAnsiTheme="majorHAnsi" w:cs="Times New Roman (Body CS)"/>
      <w:sz w:val="13"/>
      <w:szCs w:val="20"/>
    </w:rPr>
  </w:style>
  <w:style w:type="character" w:styleId="FootnoteReference">
    <w:name w:val="footnote reference"/>
    <w:basedOn w:val="DefaultParagraphFont"/>
    <w:uiPriority w:val="99"/>
    <w:semiHidden/>
    <w:unhideWhenUsed/>
    <w:rsid w:val="009A1502"/>
    <w:rPr>
      <w:vertAlign w:val="superscript"/>
    </w:rPr>
  </w:style>
  <w:style w:type="paragraph" w:styleId="EndnoteText">
    <w:name w:val="endnote text"/>
    <w:basedOn w:val="Normal"/>
    <w:link w:val="EndnoteTextChar"/>
    <w:uiPriority w:val="99"/>
    <w:semiHidden/>
    <w:unhideWhenUsed/>
    <w:rsid w:val="009A1502"/>
    <w:pPr>
      <w:spacing w:before="0" w:after="0" w:line="240" w:lineRule="auto"/>
    </w:pPr>
    <w:rPr>
      <w:sz w:val="13"/>
      <w:szCs w:val="20"/>
    </w:rPr>
  </w:style>
  <w:style w:type="character" w:customStyle="1" w:styleId="EndnoteTextChar">
    <w:name w:val="Endnote Text Char"/>
    <w:basedOn w:val="DefaultParagraphFont"/>
    <w:link w:val="EndnoteText"/>
    <w:uiPriority w:val="99"/>
    <w:semiHidden/>
    <w:rsid w:val="009A1502"/>
    <w:rPr>
      <w:rFonts w:asciiTheme="majorHAnsi" w:hAnsiTheme="majorHAnsi"/>
      <w:sz w:val="13"/>
      <w:szCs w:val="20"/>
    </w:rPr>
  </w:style>
  <w:style w:type="character" w:styleId="EndnoteReference">
    <w:name w:val="endnote reference"/>
    <w:basedOn w:val="DefaultParagraphFont"/>
    <w:uiPriority w:val="99"/>
    <w:semiHidden/>
    <w:unhideWhenUsed/>
    <w:rsid w:val="009A1502"/>
    <w:rPr>
      <w:vertAlign w:val="superscript"/>
    </w:rPr>
  </w:style>
  <w:style w:type="table" w:styleId="GridTable5Dark-Accent6">
    <w:name w:val="Grid Table 5 Dark Accent 6"/>
    <w:basedOn w:val="TableNormal"/>
    <w:uiPriority w:val="50"/>
    <w:rsid w:val="009A1502"/>
    <w:pPr>
      <w:spacing w:after="0"/>
    </w:pPr>
    <w:rPr>
      <w:rFonts w:asciiTheme="majorHAnsi" w:hAnsiTheme="majorHAnsi" w:cs="Times New Roman (Body CS)"/>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Pr>
    <w:tcPr>
      <w:shd w:val="clear" w:color="auto" w:fill="92D050"/>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ListParagraph">
    <w:name w:val="List Paragraph"/>
    <w:basedOn w:val="Normal"/>
    <w:uiPriority w:val="34"/>
    <w:qFormat/>
    <w:rsid w:val="009A1502"/>
    <w:pPr>
      <w:ind w:left="720"/>
      <w:contextualSpacing/>
    </w:pPr>
  </w:style>
  <w:style w:type="table" w:styleId="TableGrid">
    <w:name w:val="Table Grid"/>
    <w:basedOn w:val="TableNormal"/>
    <w:uiPriority w:val="39"/>
    <w:rsid w:val="006A50B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619A"/>
    <w:rPr>
      <w:color w:val="0563C1" w:themeColor="hyperlink"/>
      <w:u w:val="single"/>
    </w:rPr>
  </w:style>
  <w:style w:type="character" w:styleId="UnresolvedMention">
    <w:name w:val="Unresolved Mention"/>
    <w:basedOn w:val="DefaultParagraphFont"/>
    <w:uiPriority w:val="99"/>
    <w:semiHidden/>
    <w:unhideWhenUsed/>
    <w:rsid w:val="00D9619A"/>
    <w:rPr>
      <w:color w:val="605E5C"/>
      <w:shd w:val="clear" w:color="auto" w:fill="E1DFDD"/>
    </w:rPr>
  </w:style>
  <w:style w:type="table" w:customStyle="1" w:styleId="a">
    <w:basedOn w:val="TableNormal"/>
    <w:pPr>
      <w:spacing w:after="0"/>
    </w:pPr>
    <w:tblPr>
      <w:tblStyleRowBandSize w:val="1"/>
      <w:tblStyleColBandSize w:val="1"/>
      <w:tblCellMar>
        <w:left w:w="115" w:type="dxa"/>
        <w:right w:w="115" w:type="dxa"/>
      </w:tblCellMar>
    </w:tblPr>
    <w:tcPr>
      <w:shd w:val="clear" w:color="auto" w:fill="92D050"/>
    </w:tcPr>
  </w:style>
  <w:style w:type="paragraph" w:styleId="Header">
    <w:name w:val="header"/>
    <w:basedOn w:val="Normal"/>
    <w:link w:val="HeaderChar"/>
    <w:uiPriority w:val="99"/>
    <w:unhideWhenUsed/>
    <w:rsid w:val="0096361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63619"/>
    <w:rPr>
      <w:rFonts w:asciiTheme="majorHAnsi" w:hAnsiTheme="maj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ublic.consultation@climatebonds.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ransitionpathwayinitiative.org/sectors/cemen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yqKkNkkNiBrhZMPIrkdCBVzcxQ==">AMUW2mUHKt6RxmnWq1m2OVFAmeoaBwl6kLGpiGfap5iMuW+86Fh+ASKVq4nUKNWPwSejSDZdhlgIWp22gn/gXLHHuO3FXHJ4ZWNNOJDbd0xftOADb3bjFwY=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Horsfield</dc:creator>
  <cp:lastModifiedBy>Chris Moore</cp:lastModifiedBy>
  <cp:revision>12</cp:revision>
  <dcterms:created xsi:type="dcterms:W3CDTF">2022-02-21T22:09:00Z</dcterms:created>
  <dcterms:modified xsi:type="dcterms:W3CDTF">2022-02-22T11:49:00Z</dcterms:modified>
</cp:coreProperties>
</file>