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E3" w:rsidRPr="00247470" w:rsidRDefault="00BC44E3" w:rsidP="00BC44E3">
      <w:pPr>
        <w:rPr>
          <w:rFonts w:ascii="Calibri" w:hAnsi="Calibri" w:cs="Arial"/>
          <w:i/>
          <w:iCs/>
          <w:color w:val="000000"/>
        </w:rPr>
      </w:pPr>
    </w:p>
    <w:p w:rsidR="009B6392" w:rsidRPr="0002229F" w:rsidRDefault="009B6392" w:rsidP="0002229F">
      <w:pPr>
        <w:spacing w:after="0"/>
        <w:rPr>
          <w:rFonts w:ascii="Calibri" w:eastAsiaTheme="minorHAnsi" w:hAnsi="Calibri"/>
          <w:b/>
          <w:sz w:val="20"/>
          <w:szCs w:val="20"/>
        </w:rPr>
      </w:pPr>
      <w:r w:rsidRPr="009B6392">
        <w:rPr>
          <w:rFonts w:ascii="Calibri" w:eastAsiaTheme="minorHAnsi" w:hAnsi="Calibri"/>
          <w:b/>
          <w:sz w:val="32"/>
          <w:szCs w:val="32"/>
        </w:rPr>
        <w:t>Media Release</w:t>
      </w:r>
      <w:r w:rsidRPr="009B6392">
        <w:rPr>
          <w:rFonts w:ascii="Calibri" w:eastAsiaTheme="minorHAnsi" w:hAnsi="Calibri"/>
          <w:b/>
          <w:sz w:val="30"/>
          <w:szCs w:val="30"/>
        </w:rPr>
        <w:tab/>
        <w:t xml:space="preserve">   </w:t>
      </w:r>
      <w:r w:rsidRPr="009B6392">
        <w:rPr>
          <w:rFonts w:ascii="Calibri" w:eastAsiaTheme="minorHAnsi" w:hAnsi="Calibri"/>
          <w:b/>
          <w:sz w:val="20"/>
          <w:szCs w:val="20"/>
        </w:rPr>
        <w:tab/>
      </w:r>
      <w:r w:rsidRPr="009B6392">
        <w:rPr>
          <w:rFonts w:ascii="Calibri" w:eastAsiaTheme="minorHAnsi" w:hAnsi="Calibri"/>
          <w:b/>
          <w:sz w:val="20"/>
          <w:szCs w:val="20"/>
        </w:rPr>
        <w:tab/>
      </w:r>
      <w:r w:rsidRPr="009B6392">
        <w:rPr>
          <w:rFonts w:ascii="Calibri" w:eastAsiaTheme="minorHAnsi" w:hAnsi="Calibri"/>
          <w:b/>
          <w:sz w:val="20"/>
          <w:szCs w:val="20"/>
        </w:rPr>
        <w:tab/>
      </w:r>
      <w:r w:rsidRPr="009B6392">
        <w:rPr>
          <w:rFonts w:ascii="Calibri" w:eastAsiaTheme="minorHAnsi" w:hAnsi="Calibri"/>
          <w:noProof/>
          <w:sz w:val="20"/>
          <w:szCs w:val="20"/>
          <w:lang w:val="en-US"/>
        </w:rPr>
        <w:drawing>
          <wp:inline distT="0" distB="0" distL="0" distR="0">
            <wp:extent cx="2516372" cy="451485"/>
            <wp:effectExtent l="25400" t="0" r="0" b="0"/>
            <wp:docPr id="3" name="Picture 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2"/>
                    <a:stretch>
                      <a:fillRect/>
                    </a:stretch>
                  </pic:blipFill>
                  <pic:spPr>
                    <a:xfrm>
                      <a:off x="0" y="0"/>
                      <a:ext cx="2542289" cy="456135"/>
                    </a:xfrm>
                    <a:prstGeom prst="rect">
                      <a:avLst/>
                    </a:prstGeom>
                  </pic:spPr>
                </pic:pic>
              </a:graphicData>
            </a:graphic>
          </wp:inline>
        </w:drawing>
      </w:r>
    </w:p>
    <w:p w:rsidR="009B6392" w:rsidRDefault="009B6392" w:rsidP="0002229F">
      <w:pPr>
        <w:spacing w:after="0" w:line="240" w:lineRule="auto"/>
        <w:rPr>
          <w:rFonts w:ascii="Arial" w:eastAsia="Times New Roman" w:hAnsi="Arial" w:cs="Arial"/>
          <w:bCs/>
          <w:sz w:val="28"/>
          <w:szCs w:val="28"/>
          <w:lang w:val="en-AU"/>
        </w:rPr>
      </w:pPr>
    </w:p>
    <w:p w:rsidR="0002229F" w:rsidRPr="0002229F" w:rsidRDefault="0002229F" w:rsidP="0002229F">
      <w:pPr>
        <w:spacing w:after="0" w:line="240" w:lineRule="auto"/>
        <w:rPr>
          <w:rFonts w:ascii="Arial" w:eastAsia="Times New Roman" w:hAnsi="Arial" w:cs="Arial"/>
          <w:bCs/>
          <w:sz w:val="28"/>
          <w:szCs w:val="28"/>
          <w:lang w:val="en-AU"/>
        </w:rPr>
      </w:pPr>
    </w:p>
    <w:p w:rsidR="0002229F" w:rsidRDefault="00AD0484" w:rsidP="00E74A9B">
      <w:pPr>
        <w:spacing w:after="0" w:line="240" w:lineRule="auto"/>
        <w:jc w:val="center"/>
        <w:rPr>
          <w:rFonts w:eastAsia="Times New Roman" w:cstheme="minorHAnsi"/>
          <w:b/>
          <w:bCs/>
          <w:sz w:val="28"/>
          <w:szCs w:val="28"/>
          <w:lang w:val="en-AU"/>
        </w:rPr>
      </w:pPr>
      <w:r>
        <w:rPr>
          <w:rFonts w:ascii="Calibri" w:eastAsia="Times New Roman" w:hAnsi="Calibri" w:cs="Arial"/>
          <w:b/>
          <w:bCs/>
          <w:sz w:val="28"/>
          <w:szCs w:val="28"/>
          <w:lang w:val="en-AU"/>
        </w:rPr>
        <w:t xml:space="preserve">Investa </w:t>
      </w:r>
      <w:r w:rsidR="00370E07">
        <w:rPr>
          <w:rFonts w:ascii="Calibri" w:eastAsia="Times New Roman" w:hAnsi="Calibri" w:cs="Arial"/>
          <w:b/>
          <w:bCs/>
          <w:sz w:val="28"/>
          <w:szCs w:val="28"/>
          <w:lang w:val="en-AU"/>
        </w:rPr>
        <w:t>announces second</w:t>
      </w:r>
      <w:r w:rsidR="00E74A9B">
        <w:rPr>
          <w:rFonts w:ascii="Calibri" w:eastAsia="Times New Roman" w:hAnsi="Calibri" w:cs="Arial"/>
          <w:b/>
          <w:bCs/>
          <w:sz w:val="28"/>
          <w:szCs w:val="28"/>
          <w:lang w:val="en-AU"/>
        </w:rPr>
        <w:t xml:space="preserve"> </w:t>
      </w:r>
      <w:r w:rsidR="000F526E" w:rsidRPr="00AD0484">
        <w:rPr>
          <w:rFonts w:eastAsia="Times New Roman" w:cstheme="minorHAnsi"/>
          <w:b/>
          <w:bCs/>
          <w:sz w:val="28"/>
          <w:szCs w:val="28"/>
          <w:lang w:val="en-AU"/>
        </w:rPr>
        <w:t xml:space="preserve">Climate </w:t>
      </w:r>
      <w:r w:rsidR="004E1075" w:rsidRPr="00AD0484">
        <w:rPr>
          <w:rFonts w:eastAsia="Times New Roman" w:cstheme="minorHAnsi"/>
          <w:b/>
          <w:bCs/>
          <w:sz w:val="28"/>
          <w:szCs w:val="28"/>
          <w:lang w:val="en-AU"/>
        </w:rPr>
        <w:t xml:space="preserve">Bonds </w:t>
      </w:r>
      <w:r w:rsidR="000F526E" w:rsidRPr="00AD0484">
        <w:rPr>
          <w:rFonts w:eastAsia="Times New Roman" w:cstheme="minorHAnsi"/>
          <w:b/>
          <w:bCs/>
          <w:sz w:val="28"/>
          <w:szCs w:val="28"/>
          <w:lang w:val="en-AU"/>
        </w:rPr>
        <w:t>Certified Green Property Bond</w:t>
      </w:r>
    </w:p>
    <w:p w:rsidR="00E74A9B" w:rsidRPr="00E74A9B" w:rsidRDefault="00E74A9B" w:rsidP="00E74A9B">
      <w:pPr>
        <w:spacing w:after="0" w:line="240" w:lineRule="auto"/>
        <w:jc w:val="center"/>
        <w:rPr>
          <w:rFonts w:ascii="Calibri" w:eastAsia="Times New Roman" w:hAnsi="Calibri" w:cs="Arial"/>
          <w:b/>
          <w:bCs/>
          <w:sz w:val="28"/>
          <w:szCs w:val="28"/>
          <w:lang w:val="en-AU"/>
        </w:rPr>
      </w:pPr>
      <w:r>
        <w:rPr>
          <w:rFonts w:eastAsia="Times New Roman" w:cstheme="minorHAnsi"/>
          <w:b/>
          <w:bCs/>
          <w:sz w:val="28"/>
          <w:szCs w:val="28"/>
          <w:lang w:val="en-AU"/>
        </w:rPr>
        <w:t xml:space="preserve">Cements </w:t>
      </w:r>
      <w:r w:rsidR="002E594E">
        <w:rPr>
          <w:rFonts w:eastAsia="Times New Roman" w:cstheme="minorHAnsi"/>
          <w:b/>
          <w:bCs/>
          <w:sz w:val="28"/>
          <w:szCs w:val="28"/>
          <w:lang w:val="en-AU"/>
        </w:rPr>
        <w:t xml:space="preserve">best practice </w:t>
      </w:r>
      <w:r>
        <w:rPr>
          <w:rFonts w:eastAsia="Times New Roman" w:cstheme="minorHAnsi"/>
          <w:b/>
          <w:bCs/>
          <w:sz w:val="28"/>
          <w:szCs w:val="28"/>
          <w:lang w:val="en-AU"/>
        </w:rPr>
        <w:t xml:space="preserve">position in green commercial property </w:t>
      </w:r>
    </w:p>
    <w:p w:rsidR="000F526E" w:rsidRPr="00AD0484" w:rsidRDefault="000F526E" w:rsidP="0002229F">
      <w:pPr>
        <w:spacing w:after="0" w:line="240" w:lineRule="auto"/>
        <w:jc w:val="center"/>
        <w:rPr>
          <w:rFonts w:eastAsia="Times New Roman" w:cstheme="minorHAnsi"/>
          <w:b/>
          <w:bCs/>
          <w:sz w:val="28"/>
          <w:szCs w:val="28"/>
          <w:lang w:val="en-AU"/>
        </w:rPr>
      </w:pPr>
    </w:p>
    <w:p w:rsidR="00AD0484" w:rsidRPr="00AD0484" w:rsidRDefault="00AD0484" w:rsidP="00AD0484">
      <w:pPr>
        <w:spacing w:after="0" w:line="240" w:lineRule="auto"/>
        <w:jc w:val="both"/>
        <w:rPr>
          <w:rFonts w:eastAsiaTheme="minorHAnsi" w:cstheme="minorHAnsi"/>
        </w:rPr>
      </w:pPr>
    </w:p>
    <w:p w:rsidR="00AD0484" w:rsidRPr="002D4B4B" w:rsidRDefault="000A25E4" w:rsidP="00AD0484">
      <w:pPr>
        <w:spacing w:after="0" w:line="240" w:lineRule="auto"/>
        <w:jc w:val="both"/>
        <w:rPr>
          <w:rFonts w:eastAsiaTheme="minorHAnsi" w:cstheme="minorHAnsi"/>
          <w:sz w:val="24"/>
          <w:szCs w:val="24"/>
        </w:rPr>
      </w:pPr>
      <w:r w:rsidRPr="00247470">
        <w:rPr>
          <w:rFonts w:eastAsiaTheme="minorHAnsi" w:cstheme="minorHAnsi"/>
          <w:b/>
          <w:sz w:val="24"/>
          <w:szCs w:val="24"/>
        </w:rPr>
        <w:t>LONDON: 1</w:t>
      </w:r>
      <w:r w:rsidR="00CA19ED">
        <w:rPr>
          <w:rFonts w:eastAsiaTheme="minorHAnsi" w:cstheme="minorHAnsi"/>
          <w:b/>
          <w:sz w:val="24"/>
          <w:szCs w:val="24"/>
        </w:rPr>
        <w:t>3</w:t>
      </w:r>
      <w:r w:rsidRPr="00247470">
        <w:rPr>
          <w:rFonts w:eastAsiaTheme="minorHAnsi" w:cstheme="minorHAnsi"/>
          <w:b/>
          <w:sz w:val="24"/>
          <w:szCs w:val="24"/>
        </w:rPr>
        <w:t>/</w:t>
      </w:r>
      <w:r w:rsidR="00E74A9B" w:rsidRPr="00247470">
        <w:rPr>
          <w:rFonts w:eastAsiaTheme="minorHAnsi" w:cstheme="minorHAnsi"/>
          <w:b/>
          <w:sz w:val="24"/>
          <w:szCs w:val="24"/>
        </w:rPr>
        <w:t xml:space="preserve">04/2017 </w:t>
      </w:r>
      <w:r w:rsidR="00CA19ED">
        <w:rPr>
          <w:rFonts w:eastAsiaTheme="minorHAnsi" w:cstheme="minorHAnsi"/>
          <w:b/>
          <w:sz w:val="24"/>
          <w:szCs w:val="24"/>
        </w:rPr>
        <w:t>10:30</w:t>
      </w:r>
      <w:r w:rsidR="00247470" w:rsidRPr="00247470">
        <w:rPr>
          <w:rFonts w:eastAsiaTheme="minorHAnsi" w:cstheme="minorHAnsi"/>
          <w:b/>
          <w:sz w:val="24"/>
          <w:szCs w:val="24"/>
        </w:rPr>
        <w:t xml:space="preserve"> GMT:</w:t>
      </w:r>
      <w:r w:rsidR="00AD0484" w:rsidRPr="002D4B4B">
        <w:rPr>
          <w:rFonts w:eastAsiaTheme="minorHAnsi" w:cstheme="minorHAnsi"/>
          <w:sz w:val="24"/>
          <w:szCs w:val="24"/>
        </w:rPr>
        <w:t xml:space="preserve"> Investa Commercial Property Fund </w:t>
      </w:r>
      <w:r w:rsidRPr="002D4B4B">
        <w:rPr>
          <w:rFonts w:eastAsiaTheme="minorHAnsi" w:cstheme="minorHAnsi"/>
          <w:sz w:val="24"/>
          <w:szCs w:val="24"/>
        </w:rPr>
        <w:t>(ICPF)</w:t>
      </w:r>
      <w:r w:rsidR="00AA009E">
        <w:rPr>
          <w:rFonts w:eastAsiaTheme="minorHAnsi" w:cstheme="minorHAnsi"/>
          <w:sz w:val="24"/>
          <w:szCs w:val="24"/>
        </w:rPr>
        <w:t>, managed by Investa Office Management (</w:t>
      </w:r>
      <w:hyperlink r:id="rId13" w:history="1">
        <w:r w:rsidR="00AA009E" w:rsidRPr="0006033E">
          <w:rPr>
            <w:rStyle w:val="Hyperlink"/>
            <w:rFonts w:eastAsiaTheme="minorHAnsi" w:cstheme="minorHAnsi"/>
            <w:sz w:val="24"/>
            <w:szCs w:val="24"/>
          </w:rPr>
          <w:t>Investa</w:t>
        </w:r>
      </w:hyperlink>
      <w:r w:rsidR="00AA009E">
        <w:rPr>
          <w:rFonts w:eastAsiaTheme="minorHAnsi" w:cstheme="minorHAnsi"/>
          <w:sz w:val="24"/>
          <w:szCs w:val="24"/>
        </w:rPr>
        <w:t xml:space="preserve">) </w:t>
      </w:r>
      <w:r w:rsidR="00AD0484" w:rsidRPr="002D4B4B">
        <w:rPr>
          <w:rFonts w:eastAsiaTheme="minorHAnsi" w:cstheme="minorHAnsi"/>
          <w:sz w:val="24"/>
          <w:szCs w:val="24"/>
        </w:rPr>
        <w:t>announced</w:t>
      </w:r>
      <w:r w:rsidR="00247470">
        <w:rPr>
          <w:rFonts w:eastAsiaTheme="minorHAnsi" w:cstheme="minorHAnsi"/>
          <w:sz w:val="24"/>
          <w:szCs w:val="24"/>
        </w:rPr>
        <w:t xml:space="preserve"> </w:t>
      </w:r>
      <w:hyperlink r:id="rId14" w:history="1">
        <w:r w:rsidR="00AD0484" w:rsidRPr="00247470">
          <w:rPr>
            <w:rStyle w:val="Hyperlink"/>
            <w:rFonts w:eastAsiaTheme="minorHAnsi" w:cstheme="minorHAnsi"/>
            <w:sz w:val="24"/>
            <w:szCs w:val="24"/>
          </w:rPr>
          <w:t>today</w:t>
        </w:r>
      </w:hyperlink>
      <w:r w:rsidR="00AD0484" w:rsidRPr="002D4B4B">
        <w:rPr>
          <w:rFonts w:eastAsiaTheme="minorHAnsi" w:cstheme="minorHAnsi"/>
          <w:sz w:val="24"/>
          <w:szCs w:val="24"/>
        </w:rPr>
        <w:t xml:space="preserve"> a further Green Bond issuance certified by Climate Bonds Initiative.</w:t>
      </w:r>
    </w:p>
    <w:p w:rsidR="00AD0484" w:rsidRPr="002D4B4B" w:rsidRDefault="00AD0484" w:rsidP="00AD0484">
      <w:pPr>
        <w:spacing w:after="0" w:line="240" w:lineRule="auto"/>
        <w:jc w:val="both"/>
        <w:rPr>
          <w:rFonts w:eastAsiaTheme="minorHAnsi" w:cstheme="minorHAnsi"/>
          <w:sz w:val="24"/>
          <w:szCs w:val="24"/>
        </w:rPr>
      </w:pPr>
    </w:p>
    <w:p w:rsidR="00AD0484" w:rsidRPr="002D4B4B" w:rsidRDefault="00AD0484" w:rsidP="00AD0484">
      <w:pPr>
        <w:spacing w:after="0" w:line="240" w:lineRule="auto"/>
        <w:jc w:val="both"/>
        <w:rPr>
          <w:rFonts w:eastAsiaTheme="minorHAnsi" w:cstheme="minorHAnsi"/>
          <w:sz w:val="24"/>
          <w:szCs w:val="24"/>
        </w:rPr>
      </w:pPr>
      <w:r w:rsidRPr="002D4B4B">
        <w:rPr>
          <w:rFonts w:eastAsiaTheme="minorHAnsi" w:cstheme="minorHAnsi"/>
          <w:sz w:val="24"/>
          <w:szCs w:val="24"/>
        </w:rPr>
        <w:t>The bonds are rated 'A-'</w:t>
      </w:r>
      <w:r w:rsidR="00247470">
        <w:rPr>
          <w:rFonts w:eastAsiaTheme="minorHAnsi" w:cstheme="minorHAnsi"/>
          <w:sz w:val="24"/>
          <w:szCs w:val="24"/>
        </w:rPr>
        <w:t xml:space="preserve"> </w:t>
      </w:r>
      <w:r w:rsidRPr="002D4B4B">
        <w:rPr>
          <w:rFonts w:eastAsiaTheme="minorHAnsi" w:cstheme="minorHAnsi"/>
          <w:sz w:val="24"/>
          <w:szCs w:val="24"/>
        </w:rPr>
        <w:t>by Standard &amp; Poor’s (S&amp;P); the proceeds will be used to retire existing debt facilities and will be fully allocated against a portfolio of low carbon buildings in ICPF's portfolio.</w:t>
      </w:r>
      <w:bookmarkStart w:id="0" w:name="_GoBack"/>
      <w:bookmarkEnd w:id="0"/>
    </w:p>
    <w:p w:rsidR="00AD0484" w:rsidRPr="002D4B4B" w:rsidRDefault="00AD0484" w:rsidP="00AD0484">
      <w:pPr>
        <w:spacing w:after="0" w:line="240" w:lineRule="auto"/>
        <w:jc w:val="both"/>
        <w:rPr>
          <w:rFonts w:eastAsiaTheme="minorHAnsi" w:cstheme="minorHAnsi"/>
          <w:sz w:val="24"/>
          <w:szCs w:val="24"/>
        </w:rPr>
      </w:pPr>
    </w:p>
    <w:p w:rsidR="00AD0484" w:rsidRPr="002D4B4B" w:rsidRDefault="00E74A9B" w:rsidP="00AD0484">
      <w:pPr>
        <w:spacing w:after="0" w:line="240" w:lineRule="auto"/>
        <w:jc w:val="both"/>
        <w:rPr>
          <w:rFonts w:eastAsiaTheme="minorHAnsi" w:cstheme="minorHAnsi"/>
          <w:sz w:val="24"/>
          <w:szCs w:val="24"/>
        </w:rPr>
      </w:pPr>
      <w:r w:rsidRPr="002D4B4B">
        <w:rPr>
          <w:rFonts w:eastAsiaTheme="minorHAnsi" w:cstheme="minorHAnsi"/>
          <w:sz w:val="24"/>
          <w:szCs w:val="24"/>
        </w:rPr>
        <w:t xml:space="preserve">In late March this year, listed </w:t>
      </w:r>
      <w:r w:rsidR="00AA009E">
        <w:rPr>
          <w:rFonts w:eastAsiaTheme="minorHAnsi" w:cstheme="minorHAnsi"/>
          <w:sz w:val="24"/>
          <w:szCs w:val="24"/>
        </w:rPr>
        <w:t xml:space="preserve">Australian </w:t>
      </w:r>
      <w:r w:rsidRPr="002D4B4B">
        <w:rPr>
          <w:rFonts w:eastAsiaTheme="minorHAnsi" w:cstheme="minorHAnsi"/>
          <w:sz w:val="24"/>
          <w:szCs w:val="24"/>
        </w:rPr>
        <w:t>REIT</w:t>
      </w:r>
      <w:r w:rsidR="00D32457">
        <w:rPr>
          <w:rFonts w:eastAsiaTheme="minorHAnsi" w:cstheme="minorHAnsi"/>
          <w:sz w:val="24"/>
          <w:szCs w:val="24"/>
        </w:rPr>
        <w:t>,</w:t>
      </w:r>
      <w:r w:rsidRPr="002D4B4B">
        <w:rPr>
          <w:rFonts w:eastAsiaTheme="minorHAnsi" w:cstheme="minorHAnsi"/>
          <w:sz w:val="24"/>
          <w:szCs w:val="24"/>
        </w:rPr>
        <w:t xml:space="preserve"> </w:t>
      </w:r>
      <w:r w:rsidR="00AA009E">
        <w:rPr>
          <w:rFonts w:eastAsiaTheme="minorHAnsi" w:cstheme="minorHAnsi"/>
          <w:sz w:val="24"/>
          <w:szCs w:val="24"/>
        </w:rPr>
        <w:t xml:space="preserve">Investa Office Fund, also managed by Investa </w:t>
      </w:r>
      <w:r w:rsidR="00AD0484" w:rsidRPr="002D4B4B">
        <w:rPr>
          <w:rFonts w:eastAsiaTheme="minorHAnsi" w:cstheme="minorHAnsi"/>
          <w:sz w:val="24"/>
          <w:szCs w:val="24"/>
        </w:rPr>
        <w:t xml:space="preserve">closed its first AUS </w:t>
      </w:r>
      <w:r w:rsidR="00AA009E">
        <w:rPr>
          <w:rFonts w:eastAsiaTheme="minorHAnsi" w:cstheme="minorHAnsi"/>
          <w:sz w:val="24"/>
          <w:szCs w:val="24"/>
        </w:rPr>
        <w:t>$</w:t>
      </w:r>
      <w:r w:rsidR="00AD0484" w:rsidRPr="002D4B4B">
        <w:rPr>
          <w:rFonts w:eastAsiaTheme="minorHAnsi" w:cstheme="minorHAnsi"/>
          <w:sz w:val="24"/>
          <w:szCs w:val="24"/>
        </w:rPr>
        <w:t xml:space="preserve">150 million </w:t>
      </w:r>
      <w:r w:rsidRPr="002D4B4B">
        <w:rPr>
          <w:rFonts w:eastAsiaTheme="minorHAnsi" w:cstheme="minorHAnsi"/>
          <w:sz w:val="24"/>
          <w:szCs w:val="24"/>
        </w:rPr>
        <w:t>Climate Bonds Certified Green Bond i</w:t>
      </w:r>
      <w:r w:rsidR="00AD0484" w:rsidRPr="002D4B4B">
        <w:rPr>
          <w:rFonts w:eastAsiaTheme="minorHAnsi" w:cstheme="minorHAnsi"/>
          <w:sz w:val="24"/>
          <w:szCs w:val="24"/>
        </w:rPr>
        <w:t xml:space="preserve">ssuance, the first green bond issued in the $A MTN market for an Australian REIT. </w:t>
      </w:r>
    </w:p>
    <w:p w:rsidR="00AD0484" w:rsidRPr="002D4B4B" w:rsidRDefault="00AD0484" w:rsidP="00AD0484">
      <w:pPr>
        <w:spacing w:after="0" w:line="240" w:lineRule="auto"/>
        <w:jc w:val="both"/>
        <w:rPr>
          <w:rFonts w:eastAsiaTheme="minorHAnsi" w:cstheme="minorHAnsi"/>
          <w:sz w:val="24"/>
          <w:szCs w:val="24"/>
        </w:rPr>
      </w:pPr>
    </w:p>
    <w:p w:rsidR="00AD0484" w:rsidRPr="002D4B4B" w:rsidRDefault="002E594E" w:rsidP="00AD0484">
      <w:pPr>
        <w:spacing w:after="0" w:line="240" w:lineRule="auto"/>
        <w:jc w:val="both"/>
        <w:rPr>
          <w:rFonts w:eastAsiaTheme="minorHAnsi" w:cstheme="minorHAnsi"/>
          <w:sz w:val="24"/>
          <w:szCs w:val="24"/>
        </w:rPr>
      </w:pPr>
      <w:r w:rsidRPr="002D4B4B">
        <w:rPr>
          <w:rFonts w:eastAsiaTheme="minorHAnsi" w:cstheme="minorHAnsi"/>
          <w:sz w:val="24"/>
          <w:szCs w:val="24"/>
        </w:rPr>
        <w:t xml:space="preserve">Issuance of both certified green bonds are consistent with the </w:t>
      </w:r>
      <w:r w:rsidR="00AD0484" w:rsidRPr="002D4B4B">
        <w:rPr>
          <w:rFonts w:eastAsiaTheme="minorHAnsi" w:cstheme="minorHAnsi"/>
          <w:sz w:val="24"/>
          <w:szCs w:val="24"/>
        </w:rPr>
        <w:t xml:space="preserve">November </w:t>
      </w:r>
      <w:r w:rsidRPr="002D4B4B">
        <w:rPr>
          <w:rFonts w:eastAsiaTheme="minorHAnsi" w:cstheme="minorHAnsi"/>
          <w:sz w:val="24"/>
          <w:szCs w:val="24"/>
        </w:rPr>
        <w:t xml:space="preserve">2016 </w:t>
      </w:r>
      <w:hyperlink r:id="rId15" w:history="1">
        <w:r w:rsidRPr="002D4B4B">
          <w:rPr>
            <w:rStyle w:val="Hyperlink"/>
            <w:rFonts w:eastAsiaTheme="minorHAnsi" w:cstheme="minorHAnsi"/>
            <w:sz w:val="24"/>
            <w:szCs w:val="24"/>
          </w:rPr>
          <w:t>commitment</w:t>
        </w:r>
      </w:hyperlink>
      <w:r w:rsidRPr="002D4B4B">
        <w:rPr>
          <w:rFonts w:eastAsiaTheme="minorHAnsi" w:cstheme="minorHAnsi"/>
          <w:sz w:val="24"/>
          <w:szCs w:val="24"/>
        </w:rPr>
        <w:t xml:space="preserve"> by Investa </w:t>
      </w:r>
      <w:r w:rsidR="00AD0484" w:rsidRPr="002D4B4B">
        <w:rPr>
          <w:rFonts w:eastAsiaTheme="minorHAnsi" w:cstheme="minorHAnsi"/>
          <w:sz w:val="24"/>
          <w:szCs w:val="24"/>
        </w:rPr>
        <w:t xml:space="preserve">of a Net Zero Carbon </w:t>
      </w:r>
      <w:r w:rsidRPr="002D4B4B">
        <w:rPr>
          <w:rFonts w:eastAsiaTheme="minorHAnsi" w:cstheme="minorHAnsi"/>
          <w:sz w:val="24"/>
          <w:szCs w:val="24"/>
        </w:rPr>
        <w:t xml:space="preserve">Emissions target by 2040. </w:t>
      </w:r>
    </w:p>
    <w:p w:rsidR="002E594E" w:rsidRPr="002D4B4B" w:rsidRDefault="002E594E" w:rsidP="00AD0484">
      <w:pPr>
        <w:spacing w:after="0" w:line="240" w:lineRule="auto"/>
        <w:jc w:val="both"/>
        <w:rPr>
          <w:rFonts w:eastAsiaTheme="minorHAnsi" w:cstheme="minorHAnsi"/>
          <w:sz w:val="24"/>
          <w:szCs w:val="24"/>
        </w:rPr>
      </w:pPr>
    </w:p>
    <w:p w:rsidR="00AD0484" w:rsidRPr="002D4B4B" w:rsidRDefault="00AD0484" w:rsidP="00AD0484">
      <w:pPr>
        <w:spacing w:after="0" w:line="240" w:lineRule="auto"/>
        <w:jc w:val="both"/>
        <w:rPr>
          <w:rFonts w:eastAsiaTheme="minorHAnsi" w:cstheme="minorHAnsi"/>
          <w:b/>
          <w:sz w:val="24"/>
          <w:szCs w:val="24"/>
        </w:rPr>
      </w:pPr>
      <w:r w:rsidRPr="002D4B4B">
        <w:rPr>
          <w:rFonts w:eastAsiaTheme="minorHAnsi" w:cstheme="minorHAnsi"/>
          <w:b/>
          <w:sz w:val="24"/>
          <w:szCs w:val="24"/>
        </w:rPr>
        <w:t>Jason Leong, ICPF Fund Manager:</w:t>
      </w:r>
    </w:p>
    <w:p w:rsidR="00AD0484" w:rsidRPr="002D4B4B" w:rsidRDefault="00AD0484" w:rsidP="00AD0484">
      <w:pPr>
        <w:spacing w:after="0" w:line="240" w:lineRule="auto"/>
        <w:jc w:val="both"/>
        <w:rPr>
          <w:rFonts w:eastAsiaTheme="minorHAnsi" w:cstheme="minorHAnsi"/>
          <w:sz w:val="24"/>
          <w:szCs w:val="24"/>
        </w:rPr>
      </w:pPr>
      <w:r w:rsidRPr="002D4B4B">
        <w:rPr>
          <w:rFonts w:eastAsiaTheme="minorHAnsi" w:cstheme="minorHAnsi"/>
          <w:sz w:val="24"/>
          <w:szCs w:val="24"/>
        </w:rPr>
        <w:t>"We’re very pleased with the strong level of interest received in the Fund’s first Green Bond issuance, which clearly demonstrates the underlying quality of the ICPF portfolio and confidence in Investa’s ongoing ability to deliver strong</w:t>
      </w:r>
      <w:r w:rsidR="00F12F29">
        <w:rPr>
          <w:rFonts w:eastAsiaTheme="minorHAnsi" w:cstheme="minorHAnsi"/>
          <w:sz w:val="24"/>
          <w:szCs w:val="24"/>
        </w:rPr>
        <w:t xml:space="preserve"> performance.”</w:t>
      </w:r>
    </w:p>
    <w:p w:rsidR="002D4B4B" w:rsidRDefault="002D4B4B" w:rsidP="00AD0484">
      <w:pPr>
        <w:spacing w:after="0" w:line="240" w:lineRule="auto"/>
        <w:jc w:val="both"/>
        <w:rPr>
          <w:rFonts w:eastAsiaTheme="minorHAnsi" w:cstheme="minorHAnsi"/>
          <w:sz w:val="24"/>
          <w:szCs w:val="24"/>
        </w:rPr>
      </w:pPr>
    </w:p>
    <w:p w:rsidR="00AD0484" w:rsidRPr="002D4B4B" w:rsidRDefault="002E594E" w:rsidP="00AD0484">
      <w:pPr>
        <w:spacing w:after="0" w:line="240" w:lineRule="auto"/>
        <w:jc w:val="both"/>
        <w:rPr>
          <w:rFonts w:eastAsiaTheme="minorHAnsi" w:cstheme="minorHAnsi"/>
          <w:sz w:val="24"/>
          <w:szCs w:val="24"/>
        </w:rPr>
      </w:pPr>
      <w:r w:rsidRPr="002D4B4B">
        <w:rPr>
          <w:rFonts w:eastAsiaTheme="minorHAnsi" w:cstheme="minorHAnsi"/>
          <w:sz w:val="24"/>
          <w:szCs w:val="24"/>
        </w:rPr>
        <w:t>“</w:t>
      </w:r>
      <w:r w:rsidR="00AD0484" w:rsidRPr="002D4B4B">
        <w:rPr>
          <w:rFonts w:eastAsiaTheme="minorHAnsi" w:cstheme="minorHAnsi"/>
          <w:sz w:val="24"/>
          <w:szCs w:val="24"/>
        </w:rPr>
        <w:t xml:space="preserve">Diversifying our sources of debt with Green Bonds demonstrates our support for the growth of the green finance </w:t>
      </w:r>
      <w:r w:rsidR="000A25E4" w:rsidRPr="002D4B4B">
        <w:rPr>
          <w:rFonts w:eastAsiaTheme="minorHAnsi" w:cstheme="minorHAnsi"/>
          <w:sz w:val="24"/>
          <w:szCs w:val="24"/>
        </w:rPr>
        <w:t>market</w:t>
      </w:r>
      <w:r w:rsidR="00AA009E">
        <w:rPr>
          <w:rFonts w:eastAsiaTheme="minorHAnsi" w:cstheme="minorHAnsi"/>
          <w:sz w:val="24"/>
          <w:szCs w:val="24"/>
        </w:rPr>
        <w:t>,</w:t>
      </w:r>
      <w:r w:rsidR="00AD0484" w:rsidRPr="002D4B4B">
        <w:rPr>
          <w:rFonts w:eastAsiaTheme="minorHAnsi" w:cstheme="minorHAnsi"/>
          <w:sz w:val="24"/>
          <w:szCs w:val="24"/>
        </w:rPr>
        <w:t xml:space="preserve"> re-enforces our leadership position in corporate sustainability and reflects our long-term commitment to transitioning to a low carbon economy.”</w:t>
      </w:r>
    </w:p>
    <w:p w:rsidR="00AD0484" w:rsidRPr="002D4B4B" w:rsidRDefault="00AD0484" w:rsidP="00AD0484">
      <w:pPr>
        <w:spacing w:after="0" w:line="240" w:lineRule="auto"/>
        <w:jc w:val="both"/>
        <w:rPr>
          <w:rFonts w:eastAsiaTheme="minorHAnsi" w:cstheme="minorHAnsi"/>
          <w:sz w:val="24"/>
          <w:szCs w:val="24"/>
        </w:rPr>
      </w:pPr>
    </w:p>
    <w:p w:rsidR="00AD0484" w:rsidRPr="002D4B4B" w:rsidRDefault="00AD0484" w:rsidP="00AD0484">
      <w:pPr>
        <w:spacing w:after="0" w:line="240" w:lineRule="auto"/>
        <w:jc w:val="both"/>
        <w:rPr>
          <w:rFonts w:eastAsiaTheme="minorHAnsi" w:cstheme="minorHAnsi"/>
          <w:b/>
          <w:sz w:val="24"/>
          <w:szCs w:val="24"/>
        </w:rPr>
      </w:pPr>
      <w:r w:rsidRPr="002D4B4B">
        <w:rPr>
          <w:rFonts w:eastAsiaTheme="minorHAnsi" w:cstheme="minorHAnsi"/>
          <w:b/>
          <w:sz w:val="24"/>
          <w:szCs w:val="24"/>
        </w:rPr>
        <w:t>Sean Kidney, CEO Climate Bonds Initiative:</w:t>
      </w:r>
    </w:p>
    <w:p w:rsidR="002E594E" w:rsidRPr="002D4B4B" w:rsidRDefault="002E594E" w:rsidP="00AD0484">
      <w:pPr>
        <w:spacing w:after="0" w:line="240" w:lineRule="auto"/>
        <w:jc w:val="both"/>
        <w:rPr>
          <w:rFonts w:eastAsiaTheme="minorHAnsi" w:cstheme="minorHAnsi"/>
          <w:sz w:val="24"/>
          <w:szCs w:val="24"/>
        </w:rPr>
      </w:pPr>
    </w:p>
    <w:p w:rsidR="002E594E" w:rsidRDefault="00AD0484" w:rsidP="00AD0484">
      <w:pPr>
        <w:spacing w:after="0" w:line="240" w:lineRule="auto"/>
        <w:jc w:val="both"/>
        <w:rPr>
          <w:rFonts w:eastAsiaTheme="minorHAnsi" w:cstheme="minorHAnsi"/>
          <w:sz w:val="24"/>
          <w:szCs w:val="24"/>
        </w:rPr>
      </w:pPr>
      <w:r w:rsidRPr="002D4B4B">
        <w:rPr>
          <w:rFonts w:eastAsiaTheme="minorHAnsi" w:cstheme="minorHAnsi"/>
          <w:sz w:val="24"/>
          <w:szCs w:val="24"/>
        </w:rPr>
        <w:t>“Investa is meeting the highest of international standards for green property bonds with this certified bond. They are demonstrating to the Australian commercial property market where the best practice bar now sits.”</w:t>
      </w:r>
    </w:p>
    <w:p w:rsidR="002D4B4B" w:rsidRDefault="002D4B4B" w:rsidP="00AD0484">
      <w:pPr>
        <w:spacing w:after="0" w:line="240" w:lineRule="auto"/>
        <w:jc w:val="both"/>
        <w:rPr>
          <w:rFonts w:eastAsiaTheme="minorHAnsi" w:cstheme="minorHAnsi"/>
          <w:sz w:val="24"/>
          <w:szCs w:val="24"/>
        </w:rPr>
      </w:pPr>
    </w:p>
    <w:p w:rsidR="002D4B4B" w:rsidRPr="002D4B4B" w:rsidRDefault="002D4B4B" w:rsidP="00AD0484">
      <w:pPr>
        <w:spacing w:after="0" w:line="240" w:lineRule="auto"/>
        <w:jc w:val="both"/>
        <w:rPr>
          <w:rFonts w:eastAsiaTheme="minorHAnsi" w:cstheme="minorHAnsi"/>
          <w:sz w:val="24"/>
          <w:szCs w:val="24"/>
        </w:rPr>
      </w:pPr>
      <w:r>
        <w:rPr>
          <w:rFonts w:eastAsiaTheme="minorHAnsi" w:cstheme="minorHAnsi"/>
          <w:sz w:val="24"/>
          <w:szCs w:val="24"/>
        </w:rPr>
        <w:t xml:space="preserve">“There is enormous potential in major Australian cities for investment in new green building stock and retrofits targeted at zero emissions objectives. Investa and other domestic issuers using the Low Carbon Building Criteria are helping generate the momentum needed </w:t>
      </w:r>
      <w:r w:rsidR="00187379">
        <w:rPr>
          <w:rFonts w:eastAsiaTheme="minorHAnsi" w:cstheme="minorHAnsi"/>
          <w:sz w:val="24"/>
          <w:szCs w:val="24"/>
        </w:rPr>
        <w:t xml:space="preserve">to achieve this goal </w:t>
      </w:r>
      <w:r>
        <w:rPr>
          <w:rFonts w:eastAsiaTheme="minorHAnsi" w:cstheme="minorHAnsi"/>
          <w:sz w:val="24"/>
          <w:szCs w:val="24"/>
        </w:rPr>
        <w:t xml:space="preserve">across </w:t>
      </w:r>
      <w:r w:rsidR="00187379">
        <w:rPr>
          <w:rFonts w:eastAsiaTheme="minorHAnsi" w:cstheme="minorHAnsi"/>
          <w:sz w:val="24"/>
          <w:szCs w:val="24"/>
        </w:rPr>
        <w:t xml:space="preserve">the </w:t>
      </w:r>
      <w:r>
        <w:rPr>
          <w:rFonts w:eastAsiaTheme="minorHAnsi" w:cstheme="minorHAnsi"/>
          <w:sz w:val="24"/>
          <w:szCs w:val="24"/>
        </w:rPr>
        <w:t>commercial</w:t>
      </w:r>
      <w:r w:rsidR="00187379">
        <w:rPr>
          <w:rFonts w:eastAsiaTheme="minorHAnsi" w:cstheme="minorHAnsi"/>
          <w:sz w:val="24"/>
          <w:szCs w:val="24"/>
        </w:rPr>
        <w:t xml:space="preserve"> and industrial </w:t>
      </w:r>
      <w:r>
        <w:rPr>
          <w:rFonts w:eastAsiaTheme="minorHAnsi" w:cstheme="minorHAnsi"/>
          <w:sz w:val="24"/>
          <w:szCs w:val="24"/>
        </w:rPr>
        <w:t xml:space="preserve">property sectors.” </w:t>
      </w:r>
    </w:p>
    <w:p w:rsidR="000A25E4" w:rsidRPr="002D4B4B" w:rsidRDefault="000A25E4" w:rsidP="00AD0484">
      <w:pPr>
        <w:spacing w:after="0" w:line="240" w:lineRule="auto"/>
        <w:jc w:val="both"/>
        <w:rPr>
          <w:rFonts w:eastAsiaTheme="minorHAnsi" w:cstheme="minorHAnsi"/>
          <w:sz w:val="24"/>
          <w:szCs w:val="24"/>
        </w:rPr>
      </w:pPr>
    </w:p>
    <w:p w:rsidR="000A25E4" w:rsidRPr="002D4B4B" w:rsidRDefault="000A25E4" w:rsidP="002D4B4B">
      <w:pPr>
        <w:spacing w:after="0" w:line="240" w:lineRule="auto"/>
        <w:jc w:val="center"/>
        <w:rPr>
          <w:rFonts w:eastAsiaTheme="minorHAnsi" w:cstheme="minorHAnsi"/>
          <w:b/>
          <w:sz w:val="24"/>
          <w:szCs w:val="24"/>
        </w:rPr>
      </w:pPr>
      <w:r w:rsidRPr="002D4B4B">
        <w:rPr>
          <w:rFonts w:eastAsiaTheme="minorHAnsi" w:cstheme="minorHAnsi"/>
          <w:b/>
          <w:sz w:val="24"/>
          <w:szCs w:val="24"/>
        </w:rPr>
        <w:t>&lt;Ends</w:t>
      </w:r>
      <w:r w:rsidR="002D4B4B">
        <w:rPr>
          <w:rFonts w:eastAsiaTheme="minorHAnsi" w:cstheme="minorHAnsi"/>
          <w:b/>
          <w:sz w:val="24"/>
          <w:szCs w:val="24"/>
        </w:rPr>
        <w:t>&gt;</w:t>
      </w:r>
    </w:p>
    <w:p w:rsidR="002E594E" w:rsidRPr="002D4B4B" w:rsidRDefault="002E594E" w:rsidP="002E594E">
      <w:pPr>
        <w:spacing w:after="0" w:line="240" w:lineRule="auto"/>
        <w:rPr>
          <w:rFonts w:eastAsiaTheme="minorHAnsi" w:cstheme="minorHAnsi"/>
          <w:b/>
          <w:bCs/>
          <w:color w:val="222222"/>
        </w:rPr>
      </w:pPr>
      <w:r w:rsidRPr="002D4B4B">
        <w:rPr>
          <w:rFonts w:eastAsiaTheme="minorHAnsi" w:cstheme="minorHAnsi"/>
          <w:b/>
          <w:bCs/>
          <w:color w:val="222222"/>
        </w:rPr>
        <w:t xml:space="preserve">For more information, please contact: </w:t>
      </w:r>
    </w:p>
    <w:p w:rsidR="002E594E" w:rsidRPr="002D4B4B" w:rsidRDefault="000C7971" w:rsidP="002E594E">
      <w:pPr>
        <w:spacing w:after="0" w:line="240" w:lineRule="auto"/>
        <w:rPr>
          <w:rFonts w:eastAsiaTheme="minorHAnsi" w:cstheme="minorHAnsi"/>
          <w:color w:val="222222"/>
        </w:rPr>
      </w:pPr>
      <w:hyperlink r:id="rId16" w:tgtFrame="_blank" w:history="1">
        <w:r w:rsidR="002E594E" w:rsidRPr="002D4B4B">
          <w:rPr>
            <w:rFonts w:eastAsiaTheme="minorHAnsi" w:cstheme="minorHAnsi"/>
            <w:color w:val="0000FF"/>
            <w:u w:val="single"/>
          </w:rPr>
          <w:t>Andrew Whiley,</w:t>
        </w:r>
      </w:hyperlink>
      <w:r w:rsidR="002E594E" w:rsidRPr="002D4B4B">
        <w:rPr>
          <w:rFonts w:eastAsiaTheme="minorHAnsi" w:cstheme="minorHAnsi"/>
          <w:color w:val="222222"/>
        </w:rPr>
        <w:t> </w:t>
      </w:r>
    </w:p>
    <w:p w:rsidR="002E594E" w:rsidRPr="002D4B4B" w:rsidRDefault="002E594E" w:rsidP="002E594E">
      <w:pPr>
        <w:spacing w:after="0" w:line="240" w:lineRule="auto"/>
        <w:rPr>
          <w:rFonts w:eastAsiaTheme="minorHAnsi" w:cstheme="minorHAnsi"/>
          <w:color w:val="222222"/>
        </w:rPr>
      </w:pPr>
      <w:r w:rsidRPr="002D4B4B">
        <w:rPr>
          <w:rFonts w:eastAsiaTheme="minorHAnsi" w:cstheme="minorHAnsi"/>
          <w:color w:val="222222"/>
        </w:rPr>
        <w:t xml:space="preserve">Head of Communications &amp; Media, </w:t>
      </w:r>
    </w:p>
    <w:p w:rsidR="002E594E" w:rsidRPr="002D4B4B" w:rsidRDefault="002E594E" w:rsidP="002E594E">
      <w:pPr>
        <w:spacing w:after="0" w:line="240" w:lineRule="auto"/>
        <w:rPr>
          <w:rFonts w:eastAsiaTheme="minorHAnsi" w:cstheme="minorHAnsi"/>
          <w:b/>
          <w:color w:val="222222"/>
        </w:rPr>
      </w:pPr>
      <w:r w:rsidRPr="002D4B4B">
        <w:rPr>
          <w:rFonts w:eastAsiaTheme="minorHAnsi" w:cstheme="minorHAnsi"/>
          <w:color w:val="222222"/>
        </w:rPr>
        <w:t>Climate Bonds Initiative (London)</w:t>
      </w:r>
      <w:r w:rsidRPr="002D4B4B">
        <w:rPr>
          <w:rFonts w:eastAsiaTheme="minorHAnsi" w:cstheme="minorHAnsi"/>
          <w:b/>
          <w:color w:val="222222"/>
        </w:rPr>
        <w:t xml:space="preserve"> </w:t>
      </w:r>
    </w:p>
    <w:p w:rsidR="002E594E" w:rsidRPr="002D4B4B" w:rsidRDefault="002E594E" w:rsidP="002E594E">
      <w:pPr>
        <w:spacing w:after="0" w:line="240" w:lineRule="auto"/>
        <w:rPr>
          <w:rFonts w:eastAsiaTheme="minorHAnsi" w:cstheme="minorHAnsi"/>
          <w:b/>
          <w:color w:val="222222"/>
        </w:rPr>
      </w:pPr>
      <w:r w:rsidRPr="002D4B4B">
        <w:rPr>
          <w:rFonts w:eastAsiaTheme="minorHAnsi" w:cstheme="minorHAnsi"/>
          <w:b/>
          <w:color w:val="222222"/>
        </w:rPr>
        <w:t>+44 (0) 7914 159 838</w:t>
      </w:r>
    </w:p>
    <w:p w:rsidR="002E594E" w:rsidRPr="002D4B4B" w:rsidRDefault="002E594E" w:rsidP="002E594E">
      <w:pPr>
        <w:spacing w:after="0" w:line="240" w:lineRule="auto"/>
        <w:rPr>
          <w:rFonts w:eastAsiaTheme="minorHAnsi" w:cstheme="minorHAnsi"/>
          <w:b/>
          <w:color w:val="222222"/>
        </w:rPr>
      </w:pPr>
    </w:p>
    <w:p w:rsidR="002D4B4B" w:rsidRDefault="00AD0484" w:rsidP="00AD0484">
      <w:pPr>
        <w:spacing w:after="0" w:line="240" w:lineRule="auto"/>
        <w:jc w:val="both"/>
        <w:rPr>
          <w:rFonts w:eastAsiaTheme="minorHAnsi" w:cstheme="minorHAnsi"/>
          <w:sz w:val="24"/>
          <w:szCs w:val="24"/>
        </w:rPr>
      </w:pPr>
      <w:r w:rsidRPr="002D4B4B">
        <w:rPr>
          <w:rFonts w:eastAsiaTheme="minorHAnsi" w:cstheme="minorHAnsi"/>
          <w:sz w:val="24"/>
          <w:szCs w:val="24"/>
        </w:rPr>
        <w:br w:type="page"/>
      </w:r>
    </w:p>
    <w:p w:rsidR="002D4B4B" w:rsidRDefault="002D4B4B" w:rsidP="00AD0484">
      <w:pPr>
        <w:spacing w:after="0" w:line="240" w:lineRule="auto"/>
        <w:jc w:val="both"/>
        <w:rPr>
          <w:rFonts w:eastAsiaTheme="minorHAnsi" w:cstheme="minorHAnsi"/>
          <w:sz w:val="24"/>
          <w:szCs w:val="24"/>
        </w:rPr>
      </w:pPr>
    </w:p>
    <w:p w:rsidR="002D4B4B" w:rsidRDefault="002D4B4B" w:rsidP="00AD0484">
      <w:pPr>
        <w:spacing w:after="0" w:line="240" w:lineRule="auto"/>
        <w:jc w:val="both"/>
        <w:rPr>
          <w:rFonts w:eastAsiaTheme="minorHAnsi" w:cstheme="minorHAnsi"/>
          <w:sz w:val="24"/>
          <w:szCs w:val="24"/>
        </w:rPr>
      </w:pPr>
    </w:p>
    <w:p w:rsidR="002D4B4B" w:rsidRDefault="002D4B4B" w:rsidP="00AD0484">
      <w:pPr>
        <w:spacing w:after="0" w:line="240" w:lineRule="auto"/>
        <w:jc w:val="both"/>
        <w:rPr>
          <w:rFonts w:eastAsiaTheme="minorHAnsi" w:cstheme="minorHAnsi"/>
          <w:sz w:val="24"/>
          <w:szCs w:val="24"/>
        </w:rPr>
      </w:pPr>
    </w:p>
    <w:p w:rsidR="00AD0484" w:rsidRPr="00187379" w:rsidRDefault="002D4B4B" w:rsidP="00AD0484">
      <w:pPr>
        <w:spacing w:after="0" w:line="240" w:lineRule="auto"/>
        <w:jc w:val="both"/>
        <w:rPr>
          <w:rFonts w:eastAsiaTheme="minorHAnsi" w:cstheme="minorHAnsi"/>
          <w:b/>
          <w:sz w:val="24"/>
          <w:szCs w:val="24"/>
        </w:rPr>
      </w:pPr>
      <w:r w:rsidRPr="00187379">
        <w:rPr>
          <w:rFonts w:eastAsiaTheme="minorHAnsi" w:cstheme="minorHAnsi"/>
          <w:b/>
        </w:rPr>
        <w:t>Notes for Journalists</w:t>
      </w:r>
      <w:r w:rsidR="00110BD7" w:rsidRPr="00187379">
        <w:rPr>
          <w:rFonts w:eastAsiaTheme="minorHAnsi" w:cstheme="minorHAnsi"/>
          <w:b/>
        </w:rPr>
        <w:t xml:space="preserve">: </w:t>
      </w:r>
    </w:p>
    <w:p w:rsidR="00AD0484" w:rsidRPr="00187379" w:rsidRDefault="00AD0484" w:rsidP="0006033E">
      <w:pPr>
        <w:spacing w:after="0" w:line="23" w:lineRule="atLeast"/>
        <w:jc w:val="both"/>
        <w:rPr>
          <w:rFonts w:eastAsiaTheme="minorHAnsi" w:cstheme="minorHAnsi"/>
        </w:rPr>
      </w:pPr>
    </w:p>
    <w:p w:rsidR="00AD0484" w:rsidRPr="00187379" w:rsidRDefault="00AD0484" w:rsidP="0006033E">
      <w:pPr>
        <w:spacing w:after="0" w:line="23" w:lineRule="atLeast"/>
        <w:jc w:val="both"/>
        <w:rPr>
          <w:rFonts w:eastAsiaTheme="minorHAnsi" w:cstheme="minorHAnsi"/>
          <w:u w:val="single"/>
        </w:rPr>
      </w:pPr>
      <w:r w:rsidRPr="00187379">
        <w:rPr>
          <w:rFonts w:eastAsiaTheme="minorHAnsi" w:cstheme="minorHAnsi"/>
          <w:b/>
        </w:rPr>
        <w:t>About Climate Bonds Initiative:</w:t>
      </w:r>
      <w:r w:rsidRPr="00187379">
        <w:rPr>
          <w:rFonts w:eastAsiaTheme="minorHAnsi" w:cstheme="minorHAnsi"/>
        </w:rPr>
        <w:t xml:space="preserve"> The Climate Bonds Initiative is an investor-focused not-for-profit, promoting large-scale investment in the low-carbon and climate-resilient economy. For more information, please visit </w:t>
      </w:r>
      <w:hyperlink r:id="rId17">
        <w:r w:rsidRPr="00187379">
          <w:rPr>
            <w:rStyle w:val="Hyperlink"/>
            <w:rFonts w:eastAsiaTheme="minorHAnsi" w:cstheme="minorHAnsi"/>
          </w:rPr>
          <w:t>www.climatebonds.net</w:t>
        </w:r>
      </w:hyperlink>
      <w:r w:rsidRPr="00187379">
        <w:rPr>
          <w:rFonts w:eastAsiaTheme="minorHAnsi" w:cstheme="minorHAnsi"/>
          <w:u w:val="single"/>
        </w:rPr>
        <w:t>.</w:t>
      </w:r>
    </w:p>
    <w:p w:rsidR="00AD0484" w:rsidRPr="00187379" w:rsidRDefault="00AD0484" w:rsidP="0006033E">
      <w:pPr>
        <w:spacing w:after="0" w:line="23" w:lineRule="atLeast"/>
        <w:jc w:val="both"/>
        <w:rPr>
          <w:rFonts w:eastAsiaTheme="minorHAnsi" w:cstheme="minorHAnsi"/>
          <w:u w:val="single"/>
        </w:rPr>
      </w:pPr>
    </w:p>
    <w:p w:rsidR="00AD0484" w:rsidRPr="00187379" w:rsidRDefault="00AD0484" w:rsidP="0006033E">
      <w:pPr>
        <w:spacing w:after="0" w:line="23" w:lineRule="atLeast"/>
        <w:jc w:val="both"/>
        <w:rPr>
          <w:rFonts w:eastAsiaTheme="minorHAnsi" w:cstheme="minorHAnsi"/>
        </w:rPr>
      </w:pPr>
      <w:r w:rsidRPr="00187379">
        <w:rPr>
          <w:rFonts w:eastAsiaTheme="minorHAnsi" w:cstheme="minorHAnsi"/>
          <w:b/>
        </w:rPr>
        <w:t>About the Climate Bonds Standard:</w:t>
      </w:r>
      <w:r w:rsidRPr="00187379">
        <w:rPr>
          <w:rFonts w:eastAsiaTheme="minorHAnsi" w:cstheme="minorHAnsi"/>
        </w:rPr>
        <w:t xml:space="preserve"> The </w:t>
      </w:r>
      <w:hyperlink r:id="rId18">
        <w:r w:rsidRPr="00187379">
          <w:rPr>
            <w:rStyle w:val="Hyperlink"/>
            <w:rFonts w:eastAsiaTheme="minorHAnsi" w:cstheme="minorHAnsi"/>
          </w:rPr>
          <w:t>Climate Bonds Standard</w:t>
        </w:r>
      </w:hyperlink>
      <w:r w:rsidRPr="00187379">
        <w:rPr>
          <w:rFonts w:eastAsiaTheme="minorHAnsi" w:cstheme="minorHAnsi"/>
        </w:rPr>
        <w:t xml:space="preserve"> is a general screening tool with sector-specific categories that assists investors and governments to easily prioritise climate and green bonds with confidence that the funds are being used to deliver climate change solutions. Certified bonds must meet the requirements of the Climate Bonds Standard with assets and projects funded in line with the relevant eligibility criteria.</w:t>
      </w:r>
    </w:p>
    <w:p w:rsidR="0006033E" w:rsidRPr="00187379" w:rsidRDefault="0006033E" w:rsidP="0006033E">
      <w:pPr>
        <w:spacing w:after="0" w:line="23" w:lineRule="atLeast"/>
        <w:jc w:val="both"/>
        <w:rPr>
          <w:rFonts w:eastAsiaTheme="minorHAnsi" w:cstheme="minorHAnsi"/>
        </w:rPr>
      </w:pPr>
    </w:p>
    <w:p w:rsidR="000A25E4" w:rsidRPr="00187379" w:rsidRDefault="000A25E4" w:rsidP="0006033E">
      <w:pPr>
        <w:spacing w:after="0" w:line="23" w:lineRule="atLeast"/>
        <w:jc w:val="both"/>
        <w:outlineLvl w:val="2"/>
        <w:rPr>
          <w:rFonts w:eastAsia="Times New Roman" w:cstheme="minorHAnsi"/>
          <w:color w:val="222222"/>
          <w:lang w:eastAsia="en-GB"/>
        </w:rPr>
      </w:pPr>
      <w:r w:rsidRPr="00187379">
        <w:rPr>
          <w:rFonts w:eastAsia="Times New Roman" w:cstheme="minorHAnsi"/>
          <w:b/>
          <w:bCs/>
          <w:color w:val="222222"/>
          <w:lang w:eastAsia="en-GB"/>
        </w:rPr>
        <w:t xml:space="preserve">About the Low Carbon Buildings Criteria: </w:t>
      </w:r>
      <w:r w:rsidRPr="00187379">
        <w:rPr>
          <w:rFonts w:eastAsia="Times New Roman" w:cstheme="minorHAnsi"/>
          <w:color w:val="222222"/>
          <w:lang w:eastAsia="en-GB"/>
        </w:rPr>
        <w:t>The </w:t>
      </w:r>
      <w:hyperlink r:id="rId19" w:history="1">
        <w:r w:rsidRPr="00187379">
          <w:rPr>
            <w:rFonts w:eastAsia="Times New Roman" w:cstheme="minorHAnsi"/>
            <w:color w:val="0000FF" w:themeColor="hyperlink"/>
            <w:u w:val="single"/>
            <w:lang w:eastAsia="en-GB"/>
          </w:rPr>
          <w:t>Low Carbon Buildings</w:t>
        </w:r>
      </w:hyperlink>
      <w:r w:rsidRPr="00187379">
        <w:rPr>
          <w:rFonts w:eastAsia="Times New Roman" w:cstheme="minorHAnsi"/>
          <w:color w:val="222222"/>
          <w:lang w:eastAsia="en-GB"/>
        </w:rPr>
        <w:t> Criteria (LCB) is a sector specific  investor-screening tool that applies emissions performance criteria to assess whether bonds issued to fund commercial buildings, residential buildings, and upgrade/retrofits deliver a robust level of environmental performance to qualify for </w:t>
      </w:r>
      <w:hyperlink r:id="rId20" w:history="1">
        <w:r w:rsidRPr="00187379">
          <w:rPr>
            <w:rFonts w:eastAsia="Times New Roman" w:cstheme="minorHAnsi"/>
            <w:color w:val="0000FF" w:themeColor="hyperlink"/>
            <w:u w:val="single"/>
            <w:lang w:eastAsia="en-GB"/>
          </w:rPr>
          <w:t>Climate Bonds Certification</w:t>
        </w:r>
      </w:hyperlink>
      <w:r w:rsidRPr="00187379">
        <w:rPr>
          <w:rFonts w:eastAsia="Times New Roman" w:cstheme="minorHAnsi"/>
          <w:color w:val="222222"/>
          <w:lang w:eastAsia="en-GB"/>
        </w:rPr>
        <w:t>. </w:t>
      </w:r>
    </w:p>
    <w:p w:rsidR="0006033E" w:rsidRPr="00187379" w:rsidRDefault="0006033E" w:rsidP="0006033E">
      <w:pPr>
        <w:spacing w:after="0" w:line="23" w:lineRule="atLeast"/>
        <w:jc w:val="both"/>
        <w:outlineLvl w:val="2"/>
        <w:rPr>
          <w:rFonts w:eastAsia="Times New Roman" w:cstheme="minorHAnsi"/>
          <w:color w:val="222222"/>
          <w:lang w:eastAsia="en-GB"/>
        </w:rPr>
      </w:pPr>
    </w:p>
    <w:p w:rsidR="000A25E4" w:rsidRPr="00187379" w:rsidRDefault="000A25E4" w:rsidP="0006033E">
      <w:pPr>
        <w:spacing w:after="0" w:line="23" w:lineRule="atLeast"/>
        <w:jc w:val="both"/>
        <w:rPr>
          <w:rFonts w:eastAsiaTheme="minorHAnsi" w:cstheme="minorHAnsi"/>
        </w:rPr>
      </w:pPr>
      <w:r w:rsidRPr="00187379">
        <w:rPr>
          <w:rFonts w:eastAsiaTheme="minorHAnsi" w:cstheme="minorHAnsi"/>
        </w:rPr>
        <w:t>To qualify for </w:t>
      </w:r>
      <w:hyperlink r:id="rId21" w:history="1">
        <w:r w:rsidRPr="00187379">
          <w:rPr>
            <w:rFonts w:eastAsiaTheme="minorHAnsi" w:cstheme="minorHAnsi"/>
            <w:color w:val="0000FF" w:themeColor="hyperlink"/>
            <w:u w:val="single"/>
          </w:rPr>
          <w:t>Climate Bonds Certification</w:t>
        </w:r>
      </w:hyperlink>
      <w:r w:rsidRPr="00187379">
        <w:rPr>
          <w:rFonts w:eastAsiaTheme="minorHAnsi" w:cstheme="minorHAnsi"/>
          <w:color w:val="0000FF" w:themeColor="hyperlink"/>
          <w:u w:val="single"/>
        </w:rPr>
        <w:t xml:space="preserve">, </w:t>
      </w:r>
      <w:r w:rsidRPr="00187379">
        <w:rPr>
          <w:rFonts w:eastAsiaTheme="minorHAnsi" w:cstheme="minorHAnsi"/>
        </w:rPr>
        <w:t>an individual property bond will have to satisfy emissions performance targets that depend on the issuance date and term of the bond.</w:t>
      </w:r>
      <w:r w:rsidRPr="00187379">
        <w:rPr>
          <w:rFonts w:cstheme="minorHAnsi"/>
        </w:rPr>
        <w:t xml:space="preserve"> Certification</w:t>
      </w:r>
      <w:r w:rsidRPr="00187379">
        <w:rPr>
          <w:rFonts w:eastAsiaTheme="minorHAnsi" w:cstheme="minorHAnsi"/>
        </w:rPr>
        <w:t xml:space="preserve"> using the emissions performance trajectories </w:t>
      </w:r>
      <w:r w:rsidR="0006033E" w:rsidRPr="00187379">
        <w:rPr>
          <w:rFonts w:eastAsiaTheme="minorHAnsi" w:cstheme="minorHAnsi"/>
        </w:rPr>
        <w:t xml:space="preserve">and baselines </w:t>
      </w:r>
      <w:r w:rsidRPr="00187379">
        <w:rPr>
          <w:rFonts w:eastAsiaTheme="minorHAnsi" w:cstheme="minorHAnsi"/>
        </w:rPr>
        <w:t>complements the certification pathway available to issuers through </w:t>
      </w:r>
      <w:hyperlink r:id="rId22" w:history="1">
        <w:r w:rsidRPr="00187379">
          <w:rPr>
            <w:rFonts w:eastAsiaTheme="minorHAnsi" w:cstheme="minorHAnsi"/>
            <w:color w:val="0000FF" w:themeColor="hyperlink"/>
            <w:u w:val="single"/>
          </w:rPr>
          <w:t>significant upgrades and retrofits</w:t>
        </w:r>
      </w:hyperlink>
      <w:r w:rsidRPr="00187379">
        <w:rPr>
          <w:rFonts w:eastAsiaTheme="minorHAnsi" w:cstheme="minorHAnsi"/>
        </w:rPr>
        <w:t>.</w:t>
      </w:r>
    </w:p>
    <w:p w:rsidR="0006033E" w:rsidRPr="00187379" w:rsidRDefault="0006033E" w:rsidP="0006033E">
      <w:pPr>
        <w:spacing w:after="0" w:line="23" w:lineRule="atLeast"/>
        <w:jc w:val="both"/>
        <w:rPr>
          <w:rFonts w:eastAsiaTheme="minorHAnsi" w:cstheme="minorHAnsi"/>
        </w:rPr>
      </w:pPr>
    </w:p>
    <w:p w:rsidR="00187379" w:rsidRPr="00187379" w:rsidRDefault="00187379" w:rsidP="0006033E">
      <w:pPr>
        <w:spacing w:after="0" w:line="23" w:lineRule="atLeast"/>
        <w:jc w:val="both"/>
        <w:rPr>
          <w:rFonts w:eastAsia="Times New Roman" w:cstheme="minorHAnsi"/>
          <w:color w:val="222222"/>
          <w:lang w:eastAsia="en-GB"/>
        </w:rPr>
      </w:pPr>
      <w:r w:rsidRPr="00187379">
        <w:rPr>
          <w:rFonts w:eastAsia="Times New Roman" w:cstheme="minorHAnsi"/>
          <w:b/>
          <w:bCs/>
          <w:color w:val="222222"/>
          <w:lang w:eastAsia="en-GB"/>
        </w:rPr>
        <w:t>Australian c</w:t>
      </w:r>
      <w:r w:rsidR="002D4B4B" w:rsidRPr="00187379">
        <w:rPr>
          <w:rFonts w:eastAsia="Times New Roman" w:cstheme="minorHAnsi"/>
          <w:b/>
          <w:bCs/>
          <w:color w:val="222222"/>
          <w:lang w:eastAsia="en-GB"/>
        </w:rPr>
        <w:t xml:space="preserve">ommercial property </w:t>
      </w:r>
      <w:r w:rsidR="000A25E4" w:rsidRPr="00187379">
        <w:rPr>
          <w:rFonts w:eastAsia="Times New Roman" w:cstheme="minorHAnsi"/>
          <w:b/>
          <w:bCs/>
          <w:color w:val="222222"/>
          <w:lang w:eastAsia="en-GB"/>
        </w:rPr>
        <w:t>baselines:</w:t>
      </w:r>
      <w:r w:rsidR="000A25E4" w:rsidRPr="00187379">
        <w:rPr>
          <w:rFonts w:eastAsia="Times New Roman" w:cstheme="minorHAnsi"/>
          <w:color w:val="222222"/>
          <w:lang w:eastAsia="en-GB"/>
        </w:rPr>
        <w:t> </w:t>
      </w:r>
      <w:r w:rsidR="0006033E" w:rsidRPr="00187379">
        <w:rPr>
          <w:rFonts w:eastAsia="Times New Roman" w:cstheme="minorHAnsi"/>
          <w:color w:val="222222"/>
          <w:lang w:eastAsia="en-GB"/>
        </w:rPr>
        <w:t>B</w:t>
      </w:r>
      <w:r w:rsidR="000A25E4" w:rsidRPr="00187379">
        <w:rPr>
          <w:rFonts w:eastAsia="Times New Roman" w:cstheme="minorHAnsi"/>
          <w:color w:val="222222"/>
          <w:lang w:eastAsia="en-GB"/>
        </w:rPr>
        <w:t xml:space="preserve">aselines are </w:t>
      </w:r>
      <w:hyperlink r:id="rId23" w:history="1">
        <w:r w:rsidRPr="00187379">
          <w:rPr>
            <w:rStyle w:val="Hyperlink"/>
            <w:rFonts w:eastAsia="Times New Roman" w:cstheme="minorHAnsi"/>
            <w:lang w:eastAsia="en-GB"/>
          </w:rPr>
          <w:t>available</w:t>
        </w:r>
      </w:hyperlink>
      <w:r w:rsidRPr="00187379">
        <w:rPr>
          <w:rFonts w:eastAsia="Times New Roman" w:cstheme="minorHAnsi"/>
          <w:color w:val="222222"/>
          <w:lang w:eastAsia="en-GB"/>
        </w:rPr>
        <w:t xml:space="preserve"> </w:t>
      </w:r>
      <w:r w:rsidR="000A25E4" w:rsidRPr="00187379">
        <w:rPr>
          <w:rFonts w:eastAsia="Times New Roman" w:cstheme="minorHAnsi"/>
          <w:color w:val="222222"/>
          <w:lang w:eastAsia="en-GB"/>
        </w:rPr>
        <w:t>for major Australian cities where there are mandatory building performance disclosure schemes, including Adelaide, Brisbane, Canberra, Melbourne, Perth, and Sydney</w:t>
      </w:r>
      <w:r w:rsidR="002D4B4B" w:rsidRPr="00187379">
        <w:rPr>
          <w:rFonts w:eastAsia="Times New Roman" w:cstheme="minorHAnsi"/>
          <w:color w:val="222222"/>
          <w:lang w:eastAsia="en-GB"/>
        </w:rPr>
        <w:t xml:space="preserve">. More information </w:t>
      </w:r>
      <w:hyperlink r:id="rId24" w:history="1">
        <w:r w:rsidR="002D4B4B" w:rsidRPr="00187379">
          <w:rPr>
            <w:rStyle w:val="Hyperlink"/>
            <w:rFonts w:eastAsia="Times New Roman" w:cstheme="minorHAnsi"/>
            <w:lang w:eastAsia="en-GB"/>
          </w:rPr>
          <w:t>is here</w:t>
        </w:r>
      </w:hyperlink>
      <w:r w:rsidR="002D4B4B" w:rsidRPr="00187379">
        <w:rPr>
          <w:rFonts w:eastAsia="Times New Roman" w:cstheme="minorHAnsi"/>
          <w:color w:val="222222"/>
          <w:lang w:eastAsia="en-GB"/>
        </w:rPr>
        <w:t xml:space="preserve">. </w:t>
      </w:r>
      <w:r w:rsidR="000A25E4" w:rsidRPr="00187379">
        <w:rPr>
          <w:rFonts w:eastAsia="Times New Roman" w:cstheme="minorHAnsi"/>
          <w:color w:val="222222"/>
          <w:lang w:eastAsia="en-GB"/>
        </w:rPr>
        <w:t xml:space="preserve"> </w:t>
      </w:r>
    </w:p>
    <w:p w:rsidR="000A25E4" w:rsidRPr="00187379" w:rsidRDefault="002D4B4B" w:rsidP="0006033E">
      <w:pPr>
        <w:spacing w:after="0" w:line="23" w:lineRule="atLeast"/>
        <w:jc w:val="both"/>
        <w:rPr>
          <w:rFonts w:eastAsia="Times New Roman" w:cstheme="minorHAnsi"/>
          <w:color w:val="222222"/>
          <w:lang w:eastAsia="en-GB"/>
        </w:rPr>
      </w:pPr>
      <w:r w:rsidRPr="00187379">
        <w:rPr>
          <w:rFonts w:eastAsia="Times New Roman" w:cstheme="minorHAnsi"/>
          <w:color w:val="222222"/>
          <w:lang w:eastAsia="en-GB"/>
        </w:rPr>
        <w:t xml:space="preserve">Baselines are also available </w:t>
      </w:r>
      <w:hyperlink r:id="rId25" w:history="1">
        <w:r w:rsidR="000A25E4" w:rsidRPr="00187379">
          <w:rPr>
            <w:rStyle w:val="Hyperlink"/>
            <w:rFonts w:eastAsia="Times New Roman" w:cstheme="minorHAnsi"/>
            <w:lang w:eastAsia="en-GB"/>
          </w:rPr>
          <w:t>in the US</w:t>
        </w:r>
      </w:hyperlink>
      <w:r w:rsidRPr="00187379">
        <w:rPr>
          <w:rFonts w:eastAsia="Times New Roman" w:cstheme="minorHAnsi"/>
          <w:color w:val="222222"/>
          <w:lang w:eastAsia="en-GB"/>
        </w:rPr>
        <w:t xml:space="preserve">, </w:t>
      </w:r>
      <w:r w:rsidR="00110BD7" w:rsidRPr="00187379">
        <w:rPr>
          <w:rFonts w:eastAsia="Times New Roman" w:cstheme="minorHAnsi"/>
          <w:color w:val="222222"/>
          <w:lang w:eastAsia="en-GB"/>
        </w:rPr>
        <w:t>including Boston</w:t>
      </w:r>
      <w:r w:rsidR="000A25E4" w:rsidRPr="00187379">
        <w:rPr>
          <w:rFonts w:eastAsiaTheme="minorHAnsi" w:cstheme="minorHAnsi"/>
        </w:rPr>
        <w:t>, Chicago, Minneapolis, New York City, Philadelphia, San Francisco and Washington D.C.</w:t>
      </w:r>
    </w:p>
    <w:p w:rsidR="00AD0484" w:rsidRPr="00187379" w:rsidRDefault="00AD0484" w:rsidP="00AD0484">
      <w:pPr>
        <w:spacing w:after="0" w:line="240" w:lineRule="auto"/>
        <w:jc w:val="both"/>
        <w:rPr>
          <w:rFonts w:eastAsiaTheme="minorHAnsi" w:cstheme="minorHAnsi"/>
        </w:rPr>
      </w:pPr>
    </w:p>
    <w:p w:rsidR="0006033E" w:rsidRPr="00187379" w:rsidRDefault="00AD0484" w:rsidP="0006033E">
      <w:pPr>
        <w:pStyle w:val="Bio"/>
        <w:spacing w:after="0" w:line="23" w:lineRule="atLeast"/>
        <w:rPr>
          <w:rFonts w:ascii="Calibri" w:hAnsi="Calibri" w:cs="Calibri"/>
          <w:sz w:val="22"/>
          <w:szCs w:val="22"/>
        </w:rPr>
      </w:pPr>
      <w:r w:rsidRPr="00187379">
        <w:rPr>
          <w:rFonts w:ascii="Calibri" w:hAnsi="Calibri" w:cs="Calibri"/>
          <w:b/>
          <w:sz w:val="22"/>
          <w:szCs w:val="22"/>
        </w:rPr>
        <w:t>About Investa</w:t>
      </w:r>
      <w:r w:rsidR="00AA009E" w:rsidRPr="00187379">
        <w:rPr>
          <w:rFonts w:ascii="Calibri" w:hAnsi="Calibri" w:cs="Calibri"/>
          <w:b/>
          <w:sz w:val="22"/>
          <w:szCs w:val="22"/>
        </w:rPr>
        <w:t xml:space="preserve"> Office Management</w:t>
      </w:r>
      <w:r w:rsidRPr="00187379">
        <w:rPr>
          <w:rFonts w:ascii="Calibri" w:hAnsi="Calibri" w:cs="Calibri"/>
          <w:b/>
          <w:sz w:val="22"/>
          <w:szCs w:val="22"/>
        </w:rPr>
        <w:t>:</w:t>
      </w:r>
      <w:r w:rsidR="00E12DEA" w:rsidRPr="00187379">
        <w:rPr>
          <w:rFonts w:ascii="Calibri" w:hAnsi="Calibri" w:cs="Calibri"/>
          <w:sz w:val="22"/>
          <w:szCs w:val="22"/>
        </w:rPr>
        <w:t xml:space="preserve">  Investa is a leading Australian real estate company managing more than A$10 billion of quality office real estate. As a specialist office manager of commercial office buildings Investa manages more than 40 assets in the key Australian CBD markets on behalf of ICPF, ASX-listed Investa Office Fund (IOF) and private mandates. Its end-to-end real estate platform incorporates funds, asset, property and facilities management, development, sustainability, capital transactions and research. </w:t>
      </w:r>
    </w:p>
    <w:p w:rsidR="00E12DEA" w:rsidRPr="00187379" w:rsidRDefault="00E12DEA" w:rsidP="0006033E">
      <w:pPr>
        <w:pStyle w:val="Bio"/>
        <w:spacing w:after="0" w:line="23" w:lineRule="atLeast"/>
        <w:rPr>
          <w:rFonts w:ascii="Calibri" w:hAnsi="Calibri" w:cs="Calibri"/>
          <w:sz w:val="22"/>
          <w:szCs w:val="22"/>
        </w:rPr>
      </w:pPr>
      <w:r w:rsidRPr="00187379">
        <w:rPr>
          <w:rFonts w:ascii="Calibri" w:hAnsi="Calibri" w:cs="Calibri"/>
          <w:sz w:val="22"/>
          <w:szCs w:val="22"/>
        </w:rPr>
        <w:t xml:space="preserve"> </w:t>
      </w:r>
    </w:p>
    <w:p w:rsidR="00E12DEA" w:rsidRPr="00187379" w:rsidRDefault="00E12DEA" w:rsidP="0006033E">
      <w:pPr>
        <w:pStyle w:val="Bio"/>
        <w:spacing w:after="0" w:line="23" w:lineRule="atLeast"/>
        <w:rPr>
          <w:rFonts w:ascii="Calibri" w:hAnsi="Calibri" w:cs="Calibri"/>
          <w:sz w:val="22"/>
          <w:szCs w:val="22"/>
        </w:rPr>
      </w:pPr>
      <w:r w:rsidRPr="00187379">
        <w:rPr>
          <w:rFonts w:ascii="Calibri" w:hAnsi="Calibri" w:cs="Calibri"/>
          <w:sz w:val="22"/>
          <w:szCs w:val="22"/>
        </w:rPr>
        <w:t>Investa strives to be the first choice in Australian office, by delivering consistent outperformance to its investors and exceeding the expectations of its tenants and staff, while remaining an industry leader in sustainable building management and responsible property investment.</w:t>
      </w:r>
    </w:p>
    <w:p w:rsidR="00AD0484" w:rsidRPr="00187379" w:rsidRDefault="00110BD7" w:rsidP="0006033E">
      <w:pPr>
        <w:spacing w:after="0" w:line="23" w:lineRule="atLeast"/>
        <w:jc w:val="both"/>
        <w:rPr>
          <w:rFonts w:ascii="Calibri" w:eastAsiaTheme="minorHAnsi" w:hAnsi="Calibri" w:cs="Calibri"/>
        </w:rPr>
      </w:pPr>
      <w:r w:rsidRPr="00187379">
        <w:rPr>
          <w:rFonts w:ascii="Calibri" w:eastAsiaTheme="minorHAnsi" w:hAnsi="Calibri" w:cs="Calibri"/>
        </w:rPr>
        <w:t>More information is</w:t>
      </w:r>
      <w:r w:rsidR="00187379">
        <w:rPr>
          <w:rFonts w:ascii="Calibri" w:eastAsiaTheme="minorHAnsi" w:hAnsi="Calibri" w:cs="Calibri"/>
        </w:rPr>
        <w:t xml:space="preserve"> </w:t>
      </w:r>
      <w:hyperlink r:id="rId26" w:history="1">
        <w:r w:rsidR="00187379" w:rsidRPr="00187379">
          <w:rPr>
            <w:rStyle w:val="Hyperlink"/>
            <w:rFonts w:ascii="Calibri" w:eastAsiaTheme="minorHAnsi" w:hAnsi="Calibri" w:cs="Calibri"/>
          </w:rPr>
          <w:t>here</w:t>
        </w:r>
      </w:hyperlink>
      <w:r w:rsidR="00187379">
        <w:rPr>
          <w:rFonts w:ascii="Calibri" w:eastAsiaTheme="minorHAnsi" w:hAnsi="Calibri" w:cs="Calibri"/>
        </w:rPr>
        <w:t>.</w:t>
      </w:r>
    </w:p>
    <w:p w:rsidR="00110BD7" w:rsidRDefault="00110BD7" w:rsidP="00257C6E">
      <w:pPr>
        <w:spacing w:after="0" w:line="240" w:lineRule="auto"/>
        <w:jc w:val="both"/>
        <w:rPr>
          <w:rFonts w:eastAsiaTheme="minorHAnsi" w:cstheme="minorHAnsi"/>
          <w:sz w:val="20"/>
          <w:szCs w:val="20"/>
        </w:rPr>
      </w:pPr>
    </w:p>
    <w:p w:rsidR="00110BD7" w:rsidRPr="00110BD7" w:rsidRDefault="00187379" w:rsidP="00187379">
      <w:pPr>
        <w:spacing w:after="0" w:line="240" w:lineRule="auto"/>
        <w:rPr>
          <w:rFonts w:eastAsiaTheme="minorHAnsi" w:cstheme="minorHAnsi"/>
          <w:b/>
          <w:sz w:val="20"/>
          <w:szCs w:val="20"/>
        </w:rPr>
      </w:pPr>
      <w:r>
        <w:rPr>
          <w:rFonts w:eastAsiaTheme="minorHAnsi" w:cstheme="minorHAnsi"/>
          <w:b/>
          <w:sz w:val="20"/>
          <w:szCs w:val="20"/>
        </w:rPr>
        <w:t>ENDS&gt;</w:t>
      </w:r>
    </w:p>
    <w:p w:rsidR="00110BD7" w:rsidRDefault="00110BD7" w:rsidP="00110BD7">
      <w:pPr>
        <w:spacing w:after="0"/>
        <w:jc w:val="both"/>
        <w:rPr>
          <w:rFonts w:eastAsiaTheme="minorHAnsi" w:cstheme="minorHAnsi"/>
          <w:b/>
          <w:noProof/>
          <w:sz w:val="20"/>
          <w:szCs w:val="20"/>
          <w:lang w:val="en-US"/>
        </w:rPr>
      </w:pPr>
    </w:p>
    <w:p w:rsidR="00110BD7" w:rsidRDefault="00110BD7" w:rsidP="00110BD7">
      <w:pPr>
        <w:spacing w:after="0"/>
        <w:jc w:val="both"/>
        <w:rPr>
          <w:rFonts w:eastAsiaTheme="minorHAnsi" w:cstheme="minorHAnsi"/>
          <w:b/>
          <w:noProof/>
          <w:sz w:val="20"/>
          <w:szCs w:val="20"/>
          <w:lang w:val="en-US"/>
        </w:rPr>
      </w:pPr>
    </w:p>
    <w:p w:rsidR="00187379" w:rsidRPr="00AD0484" w:rsidRDefault="009B6392" w:rsidP="00110BD7">
      <w:pPr>
        <w:spacing w:after="0"/>
        <w:jc w:val="both"/>
        <w:rPr>
          <w:rFonts w:eastAsiaTheme="minorHAnsi" w:cstheme="minorHAnsi"/>
          <w:noProof/>
          <w:sz w:val="20"/>
          <w:szCs w:val="20"/>
          <w:lang w:val="en-US"/>
        </w:rPr>
      </w:pPr>
      <w:r w:rsidRPr="00AD0484">
        <w:rPr>
          <w:rFonts w:eastAsiaTheme="minorHAnsi" w:cstheme="minorHAnsi"/>
          <w:b/>
          <w:noProof/>
          <w:sz w:val="20"/>
          <w:szCs w:val="20"/>
          <w:lang w:val="en-US"/>
        </w:rPr>
        <w:t>Disclaimer:</w:t>
      </w:r>
      <w:r w:rsidR="00A5008C" w:rsidRPr="00AD0484">
        <w:rPr>
          <w:rFonts w:eastAsiaTheme="minorHAnsi" w:cstheme="minorHAnsi"/>
          <w:noProof/>
          <w:sz w:val="20"/>
          <w:szCs w:val="20"/>
          <w:lang w:val="en-US"/>
        </w:rPr>
        <w:t xml:space="preserve"> The information contained in this communication does not constitute investment advice in any form and the Climate Bonds Initiative is not an investment adviser. Any reference to a financial organisation or investment product is for information purposes only. Links to external websites are for information purposes only. The Climate Bonds Initiative accepts no responsibility for content on external websites.</w:t>
      </w:r>
    </w:p>
    <w:p w:rsidR="00187379" w:rsidRPr="00AD0484" w:rsidRDefault="00A5008C" w:rsidP="00110BD7">
      <w:pPr>
        <w:spacing w:after="0"/>
        <w:jc w:val="both"/>
        <w:rPr>
          <w:rFonts w:eastAsiaTheme="minorHAnsi" w:cstheme="minorHAnsi"/>
          <w:noProof/>
          <w:sz w:val="20"/>
          <w:szCs w:val="20"/>
          <w:lang w:val="en-US"/>
        </w:rPr>
      </w:pPr>
      <w:r w:rsidRPr="00AD0484">
        <w:rPr>
          <w:rFonts w:eastAsiaTheme="minorHAnsi" w:cstheme="minorHAnsi"/>
          <w:noProof/>
          <w:sz w:val="20"/>
          <w:szCs w:val="20"/>
          <w:lang w:val="en-US"/>
        </w:rPr>
        <w:t>The Climate Bonds Initiative is not endorsing, recommending or advising on the merits or otherwise of any investment and no information within this communication should be taken as such, nor should any information in this communication be relied upon in making any investment decision.</w:t>
      </w:r>
    </w:p>
    <w:p w:rsidR="00E40CA8" w:rsidRPr="00AD0484" w:rsidRDefault="00A5008C" w:rsidP="00110BD7">
      <w:pPr>
        <w:spacing w:after="0"/>
        <w:jc w:val="both"/>
        <w:rPr>
          <w:rFonts w:eastAsiaTheme="minorHAnsi" w:cstheme="minorHAnsi"/>
          <w:noProof/>
          <w:sz w:val="20"/>
          <w:szCs w:val="20"/>
          <w:lang w:val="en-US"/>
        </w:rPr>
      </w:pPr>
      <w:r w:rsidRPr="00AD0484">
        <w:rPr>
          <w:rFonts w:eastAsiaTheme="minorHAnsi" w:cstheme="minorHAnsi"/>
          <w:noProof/>
          <w:sz w:val="20"/>
          <w:szCs w:val="20"/>
          <w:lang w:val="en-US"/>
        </w:rPr>
        <w:t>A decision to invest in any financial product is solely yours. The Climate Bonds Initiative accepts no liability of any kind, for any investment any individual or</w:t>
      </w:r>
      <w:r w:rsidR="00110BD7">
        <w:rPr>
          <w:rFonts w:eastAsiaTheme="minorHAnsi" w:cstheme="minorHAnsi"/>
          <w:noProof/>
          <w:sz w:val="20"/>
          <w:szCs w:val="20"/>
          <w:lang w:val="en-US"/>
        </w:rPr>
        <w:t xml:space="preserve"> organisation makes, nor for an</w:t>
      </w:r>
      <w:r w:rsidRPr="00AD0484">
        <w:rPr>
          <w:rFonts w:eastAsiaTheme="minorHAnsi" w:cstheme="minorHAnsi"/>
          <w:noProof/>
          <w:sz w:val="20"/>
          <w:szCs w:val="20"/>
          <w:lang w:val="en-US"/>
        </w:rPr>
        <w:t xml:space="preserve"> investment made by third parties on behalf of an individual or organisation, based in whole or in part, on any information contained within this, or other Climate Bonds communications.</w:t>
      </w:r>
      <w:r w:rsidR="00E237A6" w:rsidRPr="00AD0484">
        <w:rPr>
          <w:rFonts w:eastAsiaTheme="minorHAnsi" w:cstheme="minorHAnsi"/>
          <w:noProof/>
          <w:sz w:val="20"/>
          <w:szCs w:val="20"/>
          <w:lang w:val="en-US"/>
        </w:rPr>
        <w:t xml:space="preserve"> </w:t>
      </w:r>
    </w:p>
    <w:sectPr w:rsidR="00E40CA8" w:rsidRPr="00AD0484" w:rsidSect="00630606">
      <w:footerReference w:type="even" r:id="rId27"/>
      <w:footerReference w:type="first" r:id="rId28"/>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71" w:rsidRDefault="000C7971" w:rsidP="007055E8">
      <w:pPr>
        <w:spacing w:after="0" w:line="240" w:lineRule="auto"/>
      </w:pPr>
      <w:r>
        <w:separator/>
      </w:r>
    </w:p>
  </w:endnote>
  <w:endnote w:type="continuationSeparator" w:id="0">
    <w:p w:rsidR="000C7971" w:rsidRDefault="000C7971" w:rsidP="007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28" w:rsidRDefault="00505567" w:rsidP="008C2E06">
    <w:pPr>
      <w:pStyle w:val="Footer"/>
      <w:framePr w:wrap="none" w:vAnchor="text" w:hAnchor="margin" w:xAlign="center" w:y="1"/>
      <w:rPr>
        <w:rStyle w:val="PageNumber"/>
      </w:rPr>
    </w:pPr>
    <w:r>
      <w:rPr>
        <w:rStyle w:val="PageNumber"/>
      </w:rPr>
      <w:fldChar w:fldCharType="begin"/>
    </w:r>
    <w:r w:rsidR="00E17628">
      <w:rPr>
        <w:rStyle w:val="PageNumber"/>
      </w:rPr>
      <w:instrText xml:space="preserve">PAGE  </w:instrText>
    </w:r>
    <w:r>
      <w:rPr>
        <w:rStyle w:val="PageNumber"/>
      </w:rPr>
      <w:fldChar w:fldCharType="end"/>
    </w:r>
  </w:p>
  <w:p w:rsidR="00E17628" w:rsidRDefault="00E17628">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628" w:rsidRDefault="00E17628">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71" w:rsidRDefault="000C7971" w:rsidP="007055E8">
      <w:pPr>
        <w:spacing w:after="0" w:line="240" w:lineRule="auto"/>
      </w:pPr>
      <w:r>
        <w:separator/>
      </w:r>
    </w:p>
  </w:footnote>
  <w:footnote w:type="continuationSeparator" w:id="0">
    <w:p w:rsidR="000C7971" w:rsidRDefault="000C7971" w:rsidP="00705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C19"/>
    <w:multiLevelType w:val="multilevel"/>
    <w:tmpl w:val="72A2547A"/>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8E1322"/>
    <w:multiLevelType w:val="multilevel"/>
    <w:tmpl w:val="6E5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D563C"/>
    <w:multiLevelType w:val="multilevel"/>
    <w:tmpl w:val="F27C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A697D"/>
    <w:multiLevelType w:val="hybridMultilevel"/>
    <w:tmpl w:val="70807D94"/>
    <w:lvl w:ilvl="0" w:tplc="A68246BE">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2F0B6424"/>
    <w:multiLevelType w:val="multilevel"/>
    <w:tmpl w:val="07A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C2EBA"/>
    <w:multiLevelType w:val="hybridMultilevel"/>
    <w:tmpl w:val="B082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25D3"/>
    <w:multiLevelType w:val="multilevel"/>
    <w:tmpl w:val="7D4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3408C"/>
    <w:multiLevelType w:val="multilevel"/>
    <w:tmpl w:val="105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6311D"/>
    <w:multiLevelType w:val="multilevel"/>
    <w:tmpl w:val="BCE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D0528"/>
    <w:multiLevelType w:val="hybridMultilevel"/>
    <w:tmpl w:val="0F2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12FC"/>
    <w:multiLevelType w:val="multilevel"/>
    <w:tmpl w:val="E13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C1384"/>
    <w:multiLevelType w:val="multilevel"/>
    <w:tmpl w:val="D2CE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B3036"/>
    <w:multiLevelType w:val="multilevel"/>
    <w:tmpl w:val="931C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B3C73"/>
    <w:multiLevelType w:val="hybridMultilevel"/>
    <w:tmpl w:val="36F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70913"/>
    <w:multiLevelType w:val="multilevel"/>
    <w:tmpl w:val="955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
  </w:num>
  <w:num w:numId="4">
    <w:abstractNumId w:val="8"/>
  </w:num>
  <w:num w:numId="5">
    <w:abstractNumId w:val="12"/>
  </w:num>
  <w:num w:numId="6">
    <w:abstractNumId w:val="7"/>
  </w:num>
  <w:num w:numId="7">
    <w:abstractNumId w:val="10"/>
  </w:num>
  <w:num w:numId="8">
    <w:abstractNumId w:val="14"/>
  </w:num>
  <w:num w:numId="9">
    <w:abstractNumId w:val="6"/>
  </w:num>
  <w:num w:numId="10">
    <w:abstractNumId w:val="5"/>
  </w:num>
  <w:num w:numId="11">
    <w:abstractNumId w:val="3"/>
  </w:num>
  <w:num w:numId="12">
    <w:abstractNumId w:val="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C407E"/>
    <w:rsid w:val="00000E40"/>
    <w:rsid w:val="000013D9"/>
    <w:rsid w:val="0000199E"/>
    <w:rsid w:val="000076F8"/>
    <w:rsid w:val="00012A99"/>
    <w:rsid w:val="0002229F"/>
    <w:rsid w:val="00022741"/>
    <w:rsid w:val="00022ED7"/>
    <w:rsid w:val="00024B9B"/>
    <w:rsid w:val="0004082C"/>
    <w:rsid w:val="00042417"/>
    <w:rsid w:val="00052DA5"/>
    <w:rsid w:val="00053A79"/>
    <w:rsid w:val="0006033E"/>
    <w:rsid w:val="00061E9D"/>
    <w:rsid w:val="0007374F"/>
    <w:rsid w:val="00081837"/>
    <w:rsid w:val="00081E57"/>
    <w:rsid w:val="0008629F"/>
    <w:rsid w:val="000A1CDC"/>
    <w:rsid w:val="000A25E4"/>
    <w:rsid w:val="000B3A46"/>
    <w:rsid w:val="000B63A9"/>
    <w:rsid w:val="000C4302"/>
    <w:rsid w:val="000C7971"/>
    <w:rsid w:val="000D10F8"/>
    <w:rsid w:val="000D34C8"/>
    <w:rsid w:val="000E0911"/>
    <w:rsid w:val="000E7A0D"/>
    <w:rsid w:val="000F526E"/>
    <w:rsid w:val="001032FE"/>
    <w:rsid w:val="00110BD7"/>
    <w:rsid w:val="001134F5"/>
    <w:rsid w:val="00114055"/>
    <w:rsid w:val="00142DD1"/>
    <w:rsid w:val="00144892"/>
    <w:rsid w:val="00145BAF"/>
    <w:rsid w:val="0015041E"/>
    <w:rsid w:val="001620DD"/>
    <w:rsid w:val="00171A33"/>
    <w:rsid w:val="00187379"/>
    <w:rsid w:val="001877B3"/>
    <w:rsid w:val="00192FA8"/>
    <w:rsid w:val="001A33A7"/>
    <w:rsid w:val="001A5EDE"/>
    <w:rsid w:val="001A79B9"/>
    <w:rsid w:val="001B5909"/>
    <w:rsid w:val="001E7B3D"/>
    <w:rsid w:val="00204A11"/>
    <w:rsid w:val="00204D68"/>
    <w:rsid w:val="0022084D"/>
    <w:rsid w:val="00230F1A"/>
    <w:rsid w:val="00235C1A"/>
    <w:rsid w:val="00247470"/>
    <w:rsid w:val="00257C6E"/>
    <w:rsid w:val="002638EB"/>
    <w:rsid w:val="00265D8A"/>
    <w:rsid w:val="002804C5"/>
    <w:rsid w:val="00290865"/>
    <w:rsid w:val="00297743"/>
    <w:rsid w:val="002A2528"/>
    <w:rsid w:val="002A6416"/>
    <w:rsid w:val="002B18E3"/>
    <w:rsid w:val="002B4676"/>
    <w:rsid w:val="002C108B"/>
    <w:rsid w:val="002C4A5B"/>
    <w:rsid w:val="002D4B4B"/>
    <w:rsid w:val="002E02F0"/>
    <w:rsid w:val="002E4387"/>
    <w:rsid w:val="002E4B44"/>
    <w:rsid w:val="002E594E"/>
    <w:rsid w:val="002E5CFD"/>
    <w:rsid w:val="002F2F7F"/>
    <w:rsid w:val="002F4648"/>
    <w:rsid w:val="0030382E"/>
    <w:rsid w:val="00310D02"/>
    <w:rsid w:val="00325926"/>
    <w:rsid w:val="0034488A"/>
    <w:rsid w:val="00350645"/>
    <w:rsid w:val="00351A77"/>
    <w:rsid w:val="00363E82"/>
    <w:rsid w:val="00370E07"/>
    <w:rsid w:val="00374C95"/>
    <w:rsid w:val="00395E12"/>
    <w:rsid w:val="003B0DB7"/>
    <w:rsid w:val="003B7547"/>
    <w:rsid w:val="003C407E"/>
    <w:rsid w:val="003E116F"/>
    <w:rsid w:val="003E186B"/>
    <w:rsid w:val="003E26BC"/>
    <w:rsid w:val="003F3F0B"/>
    <w:rsid w:val="004031FB"/>
    <w:rsid w:val="00411169"/>
    <w:rsid w:val="00411396"/>
    <w:rsid w:val="004242B7"/>
    <w:rsid w:val="0043068D"/>
    <w:rsid w:val="00433D88"/>
    <w:rsid w:val="00443285"/>
    <w:rsid w:val="00443308"/>
    <w:rsid w:val="00444815"/>
    <w:rsid w:val="004458E4"/>
    <w:rsid w:val="00450F7B"/>
    <w:rsid w:val="004528B3"/>
    <w:rsid w:val="00454C68"/>
    <w:rsid w:val="00454C81"/>
    <w:rsid w:val="004602BC"/>
    <w:rsid w:val="004723CE"/>
    <w:rsid w:val="00475935"/>
    <w:rsid w:val="004766EE"/>
    <w:rsid w:val="004903F3"/>
    <w:rsid w:val="004B12AC"/>
    <w:rsid w:val="004C089A"/>
    <w:rsid w:val="004C779E"/>
    <w:rsid w:val="004D1594"/>
    <w:rsid w:val="004D4494"/>
    <w:rsid w:val="004D4A18"/>
    <w:rsid w:val="004E1075"/>
    <w:rsid w:val="004E416A"/>
    <w:rsid w:val="00504B42"/>
    <w:rsid w:val="00505567"/>
    <w:rsid w:val="00515D54"/>
    <w:rsid w:val="00530B96"/>
    <w:rsid w:val="0053431D"/>
    <w:rsid w:val="00544A6D"/>
    <w:rsid w:val="00555CF5"/>
    <w:rsid w:val="00560B0C"/>
    <w:rsid w:val="00570C2E"/>
    <w:rsid w:val="00576878"/>
    <w:rsid w:val="005919B7"/>
    <w:rsid w:val="005955D4"/>
    <w:rsid w:val="005A76A7"/>
    <w:rsid w:val="005B7AD8"/>
    <w:rsid w:val="005C4AC5"/>
    <w:rsid w:val="005C4D3B"/>
    <w:rsid w:val="005D5B87"/>
    <w:rsid w:val="005E21DA"/>
    <w:rsid w:val="005E3CE1"/>
    <w:rsid w:val="005E5EE6"/>
    <w:rsid w:val="005E7DA3"/>
    <w:rsid w:val="005F4592"/>
    <w:rsid w:val="005F5ED5"/>
    <w:rsid w:val="0061422D"/>
    <w:rsid w:val="00621D7F"/>
    <w:rsid w:val="00630606"/>
    <w:rsid w:val="0063084F"/>
    <w:rsid w:val="00635CF6"/>
    <w:rsid w:val="00650BFD"/>
    <w:rsid w:val="006522B3"/>
    <w:rsid w:val="00654F37"/>
    <w:rsid w:val="00655A03"/>
    <w:rsid w:val="00656D3E"/>
    <w:rsid w:val="00670942"/>
    <w:rsid w:val="00671A83"/>
    <w:rsid w:val="00675885"/>
    <w:rsid w:val="006802D5"/>
    <w:rsid w:val="006869B7"/>
    <w:rsid w:val="00687D1A"/>
    <w:rsid w:val="00690F4F"/>
    <w:rsid w:val="006918AF"/>
    <w:rsid w:val="006A3528"/>
    <w:rsid w:val="006B5A1E"/>
    <w:rsid w:val="006C1717"/>
    <w:rsid w:val="006D1C65"/>
    <w:rsid w:val="006D539C"/>
    <w:rsid w:val="006F3236"/>
    <w:rsid w:val="007055E8"/>
    <w:rsid w:val="00710C20"/>
    <w:rsid w:val="00711966"/>
    <w:rsid w:val="00714261"/>
    <w:rsid w:val="0072447C"/>
    <w:rsid w:val="00727763"/>
    <w:rsid w:val="00746159"/>
    <w:rsid w:val="0074689F"/>
    <w:rsid w:val="00757E3E"/>
    <w:rsid w:val="00771382"/>
    <w:rsid w:val="00775F97"/>
    <w:rsid w:val="00784259"/>
    <w:rsid w:val="007B228D"/>
    <w:rsid w:val="007C626E"/>
    <w:rsid w:val="007E6E16"/>
    <w:rsid w:val="007F0CFC"/>
    <w:rsid w:val="007F212B"/>
    <w:rsid w:val="007F24A7"/>
    <w:rsid w:val="007F339D"/>
    <w:rsid w:val="007F5F9B"/>
    <w:rsid w:val="00814960"/>
    <w:rsid w:val="008249A5"/>
    <w:rsid w:val="008329BF"/>
    <w:rsid w:val="00834247"/>
    <w:rsid w:val="008369BF"/>
    <w:rsid w:val="0084009A"/>
    <w:rsid w:val="008407EA"/>
    <w:rsid w:val="00842B67"/>
    <w:rsid w:val="0084414F"/>
    <w:rsid w:val="00846A62"/>
    <w:rsid w:val="00861B8F"/>
    <w:rsid w:val="00861E81"/>
    <w:rsid w:val="008700D5"/>
    <w:rsid w:val="008717EE"/>
    <w:rsid w:val="0087491A"/>
    <w:rsid w:val="00881DF4"/>
    <w:rsid w:val="00886354"/>
    <w:rsid w:val="00890341"/>
    <w:rsid w:val="00892FA2"/>
    <w:rsid w:val="00894D86"/>
    <w:rsid w:val="008A6339"/>
    <w:rsid w:val="008B166A"/>
    <w:rsid w:val="008C2E06"/>
    <w:rsid w:val="008C5882"/>
    <w:rsid w:val="008C61DA"/>
    <w:rsid w:val="008C7113"/>
    <w:rsid w:val="008E25AD"/>
    <w:rsid w:val="008E3FFB"/>
    <w:rsid w:val="008E5ED2"/>
    <w:rsid w:val="008F6AD9"/>
    <w:rsid w:val="00900B76"/>
    <w:rsid w:val="00905611"/>
    <w:rsid w:val="009069CE"/>
    <w:rsid w:val="00913546"/>
    <w:rsid w:val="0091458F"/>
    <w:rsid w:val="00933705"/>
    <w:rsid w:val="0094052B"/>
    <w:rsid w:val="00943A0A"/>
    <w:rsid w:val="00976D03"/>
    <w:rsid w:val="0098737D"/>
    <w:rsid w:val="00994061"/>
    <w:rsid w:val="00995403"/>
    <w:rsid w:val="00996FAE"/>
    <w:rsid w:val="009B6392"/>
    <w:rsid w:val="009B7BF6"/>
    <w:rsid w:val="009C7AB8"/>
    <w:rsid w:val="009D1808"/>
    <w:rsid w:val="009D2129"/>
    <w:rsid w:val="009E37EE"/>
    <w:rsid w:val="009F6BB6"/>
    <w:rsid w:val="00A013D1"/>
    <w:rsid w:val="00A05F3F"/>
    <w:rsid w:val="00A415D8"/>
    <w:rsid w:val="00A5008C"/>
    <w:rsid w:val="00A56877"/>
    <w:rsid w:val="00A57EF0"/>
    <w:rsid w:val="00A7132B"/>
    <w:rsid w:val="00A7470F"/>
    <w:rsid w:val="00A816AF"/>
    <w:rsid w:val="00A92733"/>
    <w:rsid w:val="00A96DBC"/>
    <w:rsid w:val="00AA009E"/>
    <w:rsid w:val="00AA25E2"/>
    <w:rsid w:val="00AA392F"/>
    <w:rsid w:val="00AA5525"/>
    <w:rsid w:val="00AB7A41"/>
    <w:rsid w:val="00AD0484"/>
    <w:rsid w:val="00AD6829"/>
    <w:rsid w:val="00B11D1E"/>
    <w:rsid w:val="00B122C4"/>
    <w:rsid w:val="00B262B5"/>
    <w:rsid w:val="00B344E7"/>
    <w:rsid w:val="00B365C6"/>
    <w:rsid w:val="00B51A60"/>
    <w:rsid w:val="00B51AEB"/>
    <w:rsid w:val="00B76DD5"/>
    <w:rsid w:val="00B77003"/>
    <w:rsid w:val="00B8356B"/>
    <w:rsid w:val="00B853C1"/>
    <w:rsid w:val="00B85EF9"/>
    <w:rsid w:val="00B921B3"/>
    <w:rsid w:val="00BA64EA"/>
    <w:rsid w:val="00BB1348"/>
    <w:rsid w:val="00BB29D2"/>
    <w:rsid w:val="00BB2CE2"/>
    <w:rsid w:val="00BB387E"/>
    <w:rsid w:val="00BB7A8F"/>
    <w:rsid w:val="00BC44E3"/>
    <w:rsid w:val="00BD0AE6"/>
    <w:rsid w:val="00BD1F1B"/>
    <w:rsid w:val="00BF1E64"/>
    <w:rsid w:val="00BF622D"/>
    <w:rsid w:val="00C15885"/>
    <w:rsid w:val="00C2777B"/>
    <w:rsid w:val="00C3335D"/>
    <w:rsid w:val="00C405C1"/>
    <w:rsid w:val="00C46A68"/>
    <w:rsid w:val="00C729F7"/>
    <w:rsid w:val="00C73AEB"/>
    <w:rsid w:val="00C90866"/>
    <w:rsid w:val="00C966D7"/>
    <w:rsid w:val="00CA19ED"/>
    <w:rsid w:val="00CB04B2"/>
    <w:rsid w:val="00CB2FC7"/>
    <w:rsid w:val="00CB32D6"/>
    <w:rsid w:val="00CC5A77"/>
    <w:rsid w:val="00CD0748"/>
    <w:rsid w:val="00CD4175"/>
    <w:rsid w:val="00CE619C"/>
    <w:rsid w:val="00CF7320"/>
    <w:rsid w:val="00D14DFC"/>
    <w:rsid w:val="00D24A44"/>
    <w:rsid w:val="00D31623"/>
    <w:rsid w:val="00D32457"/>
    <w:rsid w:val="00D4700A"/>
    <w:rsid w:val="00D62053"/>
    <w:rsid w:val="00D74133"/>
    <w:rsid w:val="00D90452"/>
    <w:rsid w:val="00D9130F"/>
    <w:rsid w:val="00D93EA3"/>
    <w:rsid w:val="00DB143E"/>
    <w:rsid w:val="00DC2384"/>
    <w:rsid w:val="00DC7CEC"/>
    <w:rsid w:val="00DE03A2"/>
    <w:rsid w:val="00DE36BE"/>
    <w:rsid w:val="00DE4CF8"/>
    <w:rsid w:val="00DE5433"/>
    <w:rsid w:val="00DF1128"/>
    <w:rsid w:val="00DF33D9"/>
    <w:rsid w:val="00E12DEA"/>
    <w:rsid w:val="00E17628"/>
    <w:rsid w:val="00E203BA"/>
    <w:rsid w:val="00E21645"/>
    <w:rsid w:val="00E237A6"/>
    <w:rsid w:val="00E31AF6"/>
    <w:rsid w:val="00E37A0E"/>
    <w:rsid w:val="00E40CA8"/>
    <w:rsid w:val="00E44E1C"/>
    <w:rsid w:val="00E508DF"/>
    <w:rsid w:val="00E74A9B"/>
    <w:rsid w:val="00E81751"/>
    <w:rsid w:val="00E82387"/>
    <w:rsid w:val="00E920D9"/>
    <w:rsid w:val="00EA1F99"/>
    <w:rsid w:val="00EB0CEA"/>
    <w:rsid w:val="00EB6399"/>
    <w:rsid w:val="00ED5427"/>
    <w:rsid w:val="00ED7E87"/>
    <w:rsid w:val="00EE02F3"/>
    <w:rsid w:val="00EE2535"/>
    <w:rsid w:val="00EE6CDF"/>
    <w:rsid w:val="00EF32E6"/>
    <w:rsid w:val="00EF4840"/>
    <w:rsid w:val="00F12F29"/>
    <w:rsid w:val="00F210F9"/>
    <w:rsid w:val="00F30261"/>
    <w:rsid w:val="00F34032"/>
    <w:rsid w:val="00F344E8"/>
    <w:rsid w:val="00F36F58"/>
    <w:rsid w:val="00F37E24"/>
    <w:rsid w:val="00F42A31"/>
    <w:rsid w:val="00F61748"/>
    <w:rsid w:val="00F673AE"/>
    <w:rsid w:val="00F67B5F"/>
    <w:rsid w:val="00F70D2E"/>
    <w:rsid w:val="00F7398D"/>
    <w:rsid w:val="00F73E8D"/>
    <w:rsid w:val="00F74DA5"/>
    <w:rsid w:val="00F77C00"/>
    <w:rsid w:val="00F85A66"/>
    <w:rsid w:val="00F87BE3"/>
    <w:rsid w:val="00FA6F51"/>
    <w:rsid w:val="00FC2C3A"/>
    <w:rsid w:val="00FC65C7"/>
    <w:rsid w:val="00FC7C8C"/>
    <w:rsid w:val="00FD4BE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A4E6"/>
  <w15:docId w15:val="{3ED1107D-C996-4858-8DCC-A704C90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0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7E"/>
    <w:rPr>
      <w:rFonts w:ascii="Tahoma" w:hAnsi="Tahoma" w:cs="Tahoma"/>
      <w:sz w:val="16"/>
      <w:szCs w:val="16"/>
    </w:rPr>
  </w:style>
  <w:style w:type="character" w:styleId="Hyperlink">
    <w:name w:val="Hyperlink"/>
    <w:basedOn w:val="DefaultParagraphFont"/>
    <w:uiPriority w:val="99"/>
    <w:unhideWhenUsed/>
    <w:rsid w:val="003C407E"/>
    <w:rPr>
      <w:color w:val="0000FF" w:themeColor="hyperlink"/>
      <w:u w:val="single"/>
    </w:rPr>
  </w:style>
  <w:style w:type="paragraph" w:customStyle="1" w:styleId="Default">
    <w:name w:val="Default"/>
    <w:rsid w:val="003C407E"/>
    <w:pPr>
      <w:autoSpaceDE w:val="0"/>
      <w:autoSpaceDN w:val="0"/>
      <w:adjustRightInd w:val="0"/>
      <w:spacing w:after="0" w:line="240" w:lineRule="auto"/>
    </w:pPr>
    <w:rPr>
      <w:rFonts w:ascii="Arial" w:hAnsi="Arial" w:cs="Arial"/>
      <w:color w:val="000000"/>
      <w:sz w:val="24"/>
      <w:szCs w:val="24"/>
      <w:lang w:val="es-ES"/>
    </w:rPr>
  </w:style>
  <w:style w:type="character" w:styleId="FollowedHyperlink">
    <w:name w:val="FollowedHyperlink"/>
    <w:basedOn w:val="DefaultParagraphFont"/>
    <w:uiPriority w:val="99"/>
    <w:semiHidden/>
    <w:unhideWhenUsed/>
    <w:rsid w:val="00B51A60"/>
    <w:rPr>
      <w:color w:val="800080" w:themeColor="followedHyperlink"/>
      <w:u w:val="single"/>
    </w:rPr>
  </w:style>
  <w:style w:type="paragraph" w:styleId="CommentText">
    <w:name w:val="annotation text"/>
    <w:basedOn w:val="Normal"/>
    <w:link w:val="CommentTextChar"/>
    <w:uiPriority w:val="99"/>
    <w:semiHidden/>
    <w:unhideWhenUsed/>
    <w:rsid w:val="00555CF5"/>
    <w:pPr>
      <w:spacing w:line="240" w:lineRule="auto"/>
    </w:pPr>
    <w:rPr>
      <w:sz w:val="20"/>
      <w:szCs w:val="20"/>
    </w:rPr>
  </w:style>
  <w:style w:type="character" w:customStyle="1" w:styleId="CommentTextChar">
    <w:name w:val="Comment Text Char"/>
    <w:basedOn w:val="DefaultParagraphFont"/>
    <w:link w:val="CommentText"/>
    <w:uiPriority w:val="99"/>
    <w:semiHidden/>
    <w:rsid w:val="00555CF5"/>
    <w:rPr>
      <w:sz w:val="20"/>
      <w:szCs w:val="20"/>
    </w:rPr>
  </w:style>
  <w:style w:type="character" w:styleId="CommentReference">
    <w:name w:val="annotation reference"/>
    <w:basedOn w:val="DefaultParagraphFont"/>
    <w:uiPriority w:val="99"/>
    <w:semiHidden/>
    <w:unhideWhenUsed/>
    <w:rsid w:val="00555CF5"/>
    <w:rPr>
      <w:sz w:val="18"/>
      <w:szCs w:val="18"/>
    </w:rPr>
  </w:style>
  <w:style w:type="paragraph" w:styleId="Header">
    <w:name w:val="header"/>
    <w:basedOn w:val="Normal"/>
    <w:link w:val="HeaderChar"/>
    <w:uiPriority w:val="99"/>
    <w:unhideWhenUsed/>
    <w:rsid w:val="0070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E8"/>
  </w:style>
  <w:style w:type="paragraph" w:styleId="Footer">
    <w:name w:val="footer"/>
    <w:basedOn w:val="Normal"/>
    <w:link w:val="FooterChar"/>
    <w:uiPriority w:val="99"/>
    <w:unhideWhenUsed/>
    <w:rsid w:val="0070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E8"/>
  </w:style>
  <w:style w:type="paragraph" w:styleId="ListParagraph">
    <w:name w:val="List Paragraph"/>
    <w:basedOn w:val="Normal"/>
    <w:uiPriority w:val="34"/>
    <w:qFormat/>
    <w:rsid w:val="00892FA2"/>
    <w:pPr>
      <w:ind w:left="720"/>
      <w:contextualSpacing/>
    </w:pPr>
  </w:style>
  <w:style w:type="paragraph" w:styleId="CommentSubject">
    <w:name w:val="annotation subject"/>
    <w:basedOn w:val="CommentText"/>
    <w:next w:val="CommentText"/>
    <w:link w:val="CommentSubjectChar"/>
    <w:uiPriority w:val="99"/>
    <w:semiHidden/>
    <w:unhideWhenUsed/>
    <w:rsid w:val="00892FA2"/>
    <w:rPr>
      <w:b/>
      <w:bCs/>
    </w:rPr>
  </w:style>
  <w:style w:type="character" w:customStyle="1" w:styleId="CommentSubjectChar">
    <w:name w:val="Comment Subject Char"/>
    <w:basedOn w:val="CommentTextChar"/>
    <w:link w:val="CommentSubject"/>
    <w:uiPriority w:val="99"/>
    <w:semiHidden/>
    <w:rsid w:val="00892FA2"/>
    <w:rPr>
      <w:b/>
      <w:bCs/>
      <w:sz w:val="20"/>
      <w:szCs w:val="20"/>
    </w:rPr>
  </w:style>
  <w:style w:type="paragraph" w:styleId="Revision">
    <w:name w:val="Revision"/>
    <w:hidden/>
    <w:uiPriority w:val="99"/>
    <w:semiHidden/>
    <w:rsid w:val="00A92733"/>
    <w:pPr>
      <w:spacing w:after="0" w:line="240" w:lineRule="auto"/>
    </w:pPr>
  </w:style>
  <w:style w:type="character" w:customStyle="1" w:styleId="apple-converted-space">
    <w:name w:val="apple-converted-space"/>
    <w:basedOn w:val="DefaultParagraphFont"/>
    <w:rsid w:val="00BC44E3"/>
  </w:style>
  <w:style w:type="paragraph" w:customStyle="1" w:styleId="rtejustify">
    <w:name w:val="rtejustify"/>
    <w:basedOn w:val="Normal"/>
    <w:rsid w:val="00D9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9130F"/>
    <w:rPr>
      <w:i/>
      <w:iCs/>
    </w:rPr>
  </w:style>
  <w:style w:type="character" w:styleId="PageNumber">
    <w:name w:val="page number"/>
    <w:basedOn w:val="DefaultParagraphFont"/>
    <w:uiPriority w:val="99"/>
    <w:semiHidden/>
    <w:unhideWhenUsed/>
    <w:rsid w:val="00BF1E64"/>
  </w:style>
  <w:style w:type="paragraph" w:styleId="FootnoteText">
    <w:name w:val="footnote text"/>
    <w:basedOn w:val="Normal"/>
    <w:link w:val="FootnoteTextChar"/>
    <w:uiPriority w:val="99"/>
    <w:semiHidden/>
    <w:unhideWhenUsed/>
    <w:rsid w:val="00012A99"/>
    <w:pPr>
      <w:spacing w:after="0" w:line="240" w:lineRule="auto"/>
    </w:pPr>
    <w:rPr>
      <w:rFonts w:ascii="Univers" w:eastAsia="Times New Roman" w:hAnsi="Univers" w:cs="Angsana New"/>
      <w:sz w:val="20"/>
      <w:szCs w:val="20"/>
      <w:lang w:val="en-US"/>
    </w:rPr>
  </w:style>
  <w:style w:type="character" w:customStyle="1" w:styleId="FootnoteTextChar">
    <w:name w:val="Footnote Text Char"/>
    <w:basedOn w:val="DefaultParagraphFont"/>
    <w:link w:val="FootnoteText"/>
    <w:uiPriority w:val="99"/>
    <w:semiHidden/>
    <w:rsid w:val="00012A99"/>
    <w:rPr>
      <w:rFonts w:ascii="Univers" w:eastAsia="Times New Roman" w:hAnsi="Univers" w:cs="Angsana New"/>
      <w:sz w:val="20"/>
      <w:szCs w:val="20"/>
      <w:lang w:val="en-US"/>
    </w:rPr>
  </w:style>
  <w:style w:type="character" w:styleId="FootnoteReference">
    <w:name w:val="footnote reference"/>
    <w:basedOn w:val="DefaultParagraphFont"/>
    <w:uiPriority w:val="99"/>
    <w:semiHidden/>
    <w:unhideWhenUsed/>
    <w:rsid w:val="00012A99"/>
    <w:rPr>
      <w:vertAlign w:val="superscript"/>
    </w:rPr>
  </w:style>
  <w:style w:type="character" w:customStyle="1" w:styleId="Mention1">
    <w:name w:val="Mention1"/>
    <w:basedOn w:val="DefaultParagraphFont"/>
    <w:uiPriority w:val="99"/>
    <w:semiHidden/>
    <w:unhideWhenUsed/>
    <w:rsid w:val="00A5008C"/>
    <w:rPr>
      <w:color w:val="2B579A"/>
      <w:shd w:val="clear" w:color="auto" w:fill="E6E6E6"/>
    </w:rPr>
  </w:style>
  <w:style w:type="paragraph" w:customStyle="1" w:styleId="Bio">
    <w:name w:val="Bio"/>
    <w:basedOn w:val="Normal"/>
    <w:qFormat/>
    <w:rsid w:val="00E12DEA"/>
    <w:pPr>
      <w:widowControl w:val="0"/>
      <w:suppressAutoHyphens/>
      <w:autoSpaceDE w:val="0"/>
      <w:autoSpaceDN w:val="0"/>
      <w:adjustRightInd w:val="0"/>
      <w:spacing w:after="57" w:line="288" w:lineRule="auto"/>
      <w:textAlignment w:val="center"/>
    </w:pPr>
    <w:rPr>
      <w:rFonts w:ascii="HelveticaNeueLTStd-Roman" w:eastAsiaTheme="minorHAnsi" w:hAnsi="HelveticaNeueLTStd-Roman" w:cs="HelveticaNeueLTStd-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3415">
      <w:bodyDiv w:val="1"/>
      <w:marLeft w:val="0"/>
      <w:marRight w:val="0"/>
      <w:marTop w:val="0"/>
      <w:marBottom w:val="0"/>
      <w:divBdr>
        <w:top w:val="none" w:sz="0" w:space="0" w:color="auto"/>
        <w:left w:val="none" w:sz="0" w:space="0" w:color="auto"/>
        <w:bottom w:val="none" w:sz="0" w:space="0" w:color="auto"/>
        <w:right w:val="none" w:sz="0" w:space="0" w:color="auto"/>
      </w:divBdr>
      <w:divsChild>
        <w:div w:id="2182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322">
              <w:marLeft w:val="0"/>
              <w:marRight w:val="0"/>
              <w:marTop w:val="0"/>
              <w:marBottom w:val="0"/>
              <w:divBdr>
                <w:top w:val="none" w:sz="0" w:space="0" w:color="auto"/>
                <w:left w:val="none" w:sz="0" w:space="0" w:color="auto"/>
                <w:bottom w:val="none" w:sz="0" w:space="0" w:color="auto"/>
                <w:right w:val="none" w:sz="0" w:space="0" w:color="auto"/>
              </w:divBdr>
              <w:divsChild>
                <w:div w:id="1835872496">
                  <w:marLeft w:val="0"/>
                  <w:marRight w:val="0"/>
                  <w:marTop w:val="0"/>
                  <w:marBottom w:val="0"/>
                  <w:divBdr>
                    <w:top w:val="none" w:sz="0" w:space="0" w:color="auto"/>
                    <w:left w:val="none" w:sz="0" w:space="0" w:color="auto"/>
                    <w:bottom w:val="none" w:sz="0" w:space="0" w:color="auto"/>
                    <w:right w:val="none" w:sz="0" w:space="0" w:color="auto"/>
                  </w:divBdr>
                  <w:divsChild>
                    <w:div w:id="1255896122">
                      <w:marLeft w:val="0"/>
                      <w:marRight w:val="0"/>
                      <w:marTop w:val="0"/>
                      <w:marBottom w:val="0"/>
                      <w:divBdr>
                        <w:top w:val="none" w:sz="0" w:space="0" w:color="auto"/>
                        <w:left w:val="none" w:sz="0" w:space="0" w:color="auto"/>
                        <w:bottom w:val="none" w:sz="0" w:space="0" w:color="auto"/>
                        <w:right w:val="none" w:sz="0" w:space="0" w:color="auto"/>
                      </w:divBdr>
                      <w:divsChild>
                        <w:div w:id="1797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3797">
      <w:bodyDiv w:val="1"/>
      <w:marLeft w:val="0"/>
      <w:marRight w:val="0"/>
      <w:marTop w:val="0"/>
      <w:marBottom w:val="0"/>
      <w:divBdr>
        <w:top w:val="none" w:sz="0" w:space="0" w:color="auto"/>
        <w:left w:val="none" w:sz="0" w:space="0" w:color="auto"/>
        <w:bottom w:val="none" w:sz="0" w:space="0" w:color="auto"/>
        <w:right w:val="none" w:sz="0" w:space="0" w:color="auto"/>
      </w:divBdr>
    </w:div>
    <w:div w:id="1322005466">
      <w:bodyDiv w:val="1"/>
      <w:marLeft w:val="0"/>
      <w:marRight w:val="0"/>
      <w:marTop w:val="0"/>
      <w:marBottom w:val="0"/>
      <w:divBdr>
        <w:top w:val="none" w:sz="0" w:space="0" w:color="auto"/>
        <w:left w:val="none" w:sz="0" w:space="0" w:color="auto"/>
        <w:bottom w:val="none" w:sz="0" w:space="0" w:color="auto"/>
        <w:right w:val="none" w:sz="0" w:space="0" w:color="auto"/>
      </w:divBdr>
      <w:divsChild>
        <w:div w:id="203646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53609">
              <w:marLeft w:val="0"/>
              <w:marRight w:val="0"/>
              <w:marTop w:val="0"/>
              <w:marBottom w:val="0"/>
              <w:divBdr>
                <w:top w:val="none" w:sz="0" w:space="0" w:color="auto"/>
                <w:left w:val="none" w:sz="0" w:space="0" w:color="auto"/>
                <w:bottom w:val="none" w:sz="0" w:space="0" w:color="auto"/>
                <w:right w:val="none" w:sz="0" w:space="0" w:color="auto"/>
              </w:divBdr>
              <w:divsChild>
                <w:div w:id="1300648878">
                  <w:marLeft w:val="0"/>
                  <w:marRight w:val="0"/>
                  <w:marTop w:val="0"/>
                  <w:marBottom w:val="0"/>
                  <w:divBdr>
                    <w:top w:val="none" w:sz="0" w:space="0" w:color="auto"/>
                    <w:left w:val="none" w:sz="0" w:space="0" w:color="auto"/>
                    <w:bottom w:val="none" w:sz="0" w:space="0" w:color="auto"/>
                    <w:right w:val="none" w:sz="0" w:space="0" w:color="auto"/>
                  </w:divBdr>
                  <w:divsChild>
                    <w:div w:id="783232716">
                      <w:marLeft w:val="0"/>
                      <w:marRight w:val="0"/>
                      <w:marTop w:val="0"/>
                      <w:marBottom w:val="0"/>
                      <w:divBdr>
                        <w:top w:val="none" w:sz="0" w:space="0" w:color="auto"/>
                        <w:left w:val="none" w:sz="0" w:space="0" w:color="auto"/>
                        <w:bottom w:val="none" w:sz="0" w:space="0" w:color="auto"/>
                        <w:right w:val="none" w:sz="0" w:space="0" w:color="auto"/>
                      </w:divBdr>
                      <w:divsChild>
                        <w:div w:id="2057464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8590101">
                              <w:marLeft w:val="0"/>
                              <w:marRight w:val="0"/>
                              <w:marTop w:val="0"/>
                              <w:marBottom w:val="0"/>
                              <w:divBdr>
                                <w:top w:val="none" w:sz="0" w:space="0" w:color="auto"/>
                                <w:left w:val="none" w:sz="0" w:space="0" w:color="auto"/>
                                <w:bottom w:val="none" w:sz="0" w:space="0" w:color="auto"/>
                                <w:right w:val="none" w:sz="0" w:space="0" w:color="auto"/>
                              </w:divBdr>
                              <w:divsChild>
                                <w:div w:id="743454506">
                                  <w:marLeft w:val="0"/>
                                  <w:marRight w:val="0"/>
                                  <w:marTop w:val="0"/>
                                  <w:marBottom w:val="0"/>
                                  <w:divBdr>
                                    <w:top w:val="none" w:sz="0" w:space="0" w:color="auto"/>
                                    <w:left w:val="none" w:sz="0" w:space="0" w:color="auto"/>
                                    <w:bottom w:val="none" w:sz="0" w:space="0" w:color="auto"/>
                                    <w:right w:val="none" w:sz="0" w:space="0" w:color="auto"/>
                                  </w:divBdr>
                                  <w:divsChild>
                                    <w:div w:id="1509558057">
                                      <w:marLeft w:val="0"/>
                                      <w:marRight w:val="0"/>
                                      <w:marTop w:val="0"/>
                                      <w:marBottom w:val="0"/>
                                      <w:divBdr>
                                        <w:top w:val="none" w:sz="0" w:space="0" w:color="auto"/>
                                        <w:left w:val="none" w:sz="0" w:space="0" w:color="auto"/>
                                        <w:bottom w:val="none" w:sz="0" w:space="0" w:color="auto"/>
                                        <w:right w:val="none" w:sz="0" w:space="0" w:color="auto"/>
                                      </w:divBdr>
                                      <w:divsChild>
                                        <w:div w:id="37273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5656">
                                              <w:marLeft w:val="0"/>
                                              <w:marRight w:val="0"/>
                                              <w:marTop w:val="0"/>
                                              <w:marBottom w:val="0"/>
                                              <w:divBdr>
                                                <w:top w:val="none" w:sz="0" w:space="0" w:color="auto"/>
                                                <w:left w:val="none" w:sz="0" w:space="0" w:color="auto"/>
                                                <w:bottom w:val="none" w:sz="0" w:space="0" w:color="auto"/>
                                                <w:right w:val="none" w:sz="0" w:space="0" w:color="auto"/>
                                              </w:divBdr>
                                              <w:divsChild>
                                                <w:div w:id="452938827">
                                                  <w:marLeft w:val="0"/>
                                                  <w:marRight w:val="0"/>
                                                  <w:marTop w:val="0"/>
                                                  <w:marBottom w:val="0"/>
                                                  <w:divBdr>
                                                    <w:top w:val="none" w:sz="0" w:space="0" w:color="auto"/>
                                                    <w:left w:val="none" w:sz="0" w:space="0" w:color="auto"/>
                                                    <w:bottom w:val="none" w:sz="0" w:space="0" w:color="auto"/>
                                                    <w:right w:val="none" w:sz="0" w:space="0" w:color="auto"/>
                                                  </w:divBdr>
                                                  <w:divsChild>
                                                    <w:div w:id="13716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86827">
                                                          <w:marLeft w:val="0"/>
                                                          <w:marRight w:val="0"/>
                                                          <w:marTop w:val="0"/>
                                                          <w:marBottom w:val="0"/>
                                                          <w:divBdr>
                                                            <w:top w:val="none" w:sz="0" w:space="0" w:color="auto"/>
                                                            <w:left w:val="none" w:sz="0" w:space="0" w:color="auto"/>
                                                            <w:bottom w:val="none" w:sz="0" w:space="0" w:color="auto"/>
                                                            <w:right w:val="none" w:sz="0" w:space="0" w:color="auto"/>
                                                          </w:divBdr>
                                                          <w:divsChild>
                                                            <w:div w:id="995037442">
                                                              <w:marLeft w:val="0"/>
                                                              <w:marRight w:val="0"/>
                                                              <w:marTop w:val="0"/>
                                                              <w:marBottom w:val="0"/>
                                                              <w:divBdr>
                                                                <w:top w:val="none" w:sz="0" w:space="0" w:color="auto"/>
                                                                <w:left w:val="none" w:sz="0" w:space="0" w:color="auto"/>
                                                                <w:bottom w:val="none" w:sz="0" w:space="0" w:color="auto"/>
                                                                <w:right w:val="none" w:sz="0" w:space="0" w:color="auto"/>
                                                              </w:divBdr>
                                                              <w:divsChild>
                                                                <w:div w:id="1161577501">
                                                                  <w:marLeft w:val="0"/>
                                                                  <w:marRight w:val="0"/>
                                                                  <w:marTop w:val="0"/>
                                                                  <w:marBottom w:val="0"/>
                                                                  <w:divBdr>
                                                                    <w:top w:val="none" w:sz="0" w:space="0" w:color="auto"/>
                                                                    <w:left w:val="none" w:sz="0" w:space="0" w:color="auto"/>
                                                                    <w:bottom w:val="none" w:sz="0" w:space="0" w:color="auto"/>
                                                                    <w:right w:val="none" w:sz="0" w:space="0" w:color="auto"/>
                                                                  </w:divBdr>
                                                                  <w:divsChild>
                                                                    <w:div w:id="949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vesta.com.au/" TargetMode="External"/><Relationship Id="rId18" Type="http://schemas.openxmlformats.org/officeDocument/2006/relationships/hyperlink" Target="https://www.climatebonds.net/standards" TargetMode="External"/><Relationship Id="rId26" Type="http://schemas.openxmlformats.org/officeDocument/2006/relationships/hyperlink" Target="https://www.investa.com.au/" TargetMode="External"/><Relationship Id="rId3" Type="http://schemas.openxmlformats.org/officeDocument/2006/relationships/customXml" Target="../customXml/item3.xml"/><Relationship Id="rId21" Type="http://schemas.openxmlformats.org/officeDocument/2006/relationships/hyperlink" Target="https://www.climatebonds.net/standards/certific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limatebonds.secure.force.com/track/apex/sbm__sbx_emaillinktracking?id=a0B2000000hUv0t" TargetMode="External"/><Relationship Id="rId25" Type="http://schemas.openxmlformats.org/officeDocument/2006/relationships/hyperlink" Target="https://www.climatebonds.net/2016/10/big-end-september-our-top-stories-carney-germany-global-green-finance-mexico-begins-fly" TargetMode="External"/><Relationship Id="rId2" Type="http://schemas.openxmlformats.org/officeDocument/2006/relationships/customXml" Target="../customXml/item2.xml"/><Relationship Id="rId16" Type="http://schemas.openxmlformats.org/officeDocument/2006/relationships/hyperlink" Target="mailto:andrew@climatebonds.net" TargetMode="External"/><Relationship Id="rId20" Type="http://schemas.openxmlformats.org/officeDocument/2006/relationships/hyperlink" Target="https://www.climatebonds.net/standards/certifi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imatebonds.net/2016/09/australia-boost-green-property-bonds-emissions-performance-trajectories-released-commercial" TargetMode="External"/><Relationship Id="rId5" Type="http://schemas.openxmlformats.org/officeDocument/2006/relationships/customXml" Target="../customXml/item5.xml"/><Relationship Id="rId15" Type="http://schemas.openxmlformats.org/officeDocument/2006/relationships/hyperlink" Target="https://www.investa.com.au/news-and-media/news/2016/investa-%E2%80%93-the-first-australian-property-company-to" TargetMode="External"/><Relationship Id="rId23" Type="http://schemas.openxmlformats.org/officeDocument/2006/relationships/hyperlink" Target="https://www.climatebonds.net/2016/09/australia-boost-green-property-bonds-emissions-performance-trajectories-released-commercia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limatebonds.net/standards/standards-V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vesta.com.au/news-and-media/news/2017/investa-commercial-property-fund-closes-a$100-mill" TargetMode="External"/><Relationship Id="rId22" Type="http://schemas.openxmlformats.org/officeDocument/2006/relationships/hyperlink" Target="https://www.climatebonds.net/standard/buildings/upgrad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eContentType" ma:contentTypeID="0x01010002729F642F6CEA4E94F7A9640FDAED8100A72A0C21DBDAA44BB1A32E2945526C59" ma:contentTypeVersion="11" ma:contentTypeDescription="" ma:contentTypeScope="" ma:versionID="671ca4c76b706307a23d11d0d491a9b6">
  <xsd:schema xmlns:xsd="http://www.w3.org/2001/XMLSchema" xmlns:xs="http://www.w3.org/2001/XMLSchema" xmlns:p="http://schemas.microsoft.com/office/2006/metadata/properties" xmlns:ns2="d2dc2f10-aa69-4313-85a6-7993153acb6a" xmlns:ns3="d4c1fd84-8f4b-464b-9ae4-397cdaabe133" targetNamespace="http://schemas.microsoft.com/office/2006/metadata/properties" ma:root="true" ma:fieldsID="9fe164bea7788a38fa979e4ca5686b4c" ns2:_="" ns3:_="">
    <xsd:import namespace="d2dc2f10-aa69-4313-85a6-7993153acb6a"/>
    <xsd:import namespace="d4c1fd84-8f4b-464b-9ae4-397cdaabe133"/>
    <xsd:element name="properties">
      <xsd:complexType>
        <xsd:sequence>
          <xsd:element name="documentManagement">
            <xsd:complexType>
              <xsd:all>
                <xsd:element ref="ns2:_dlc_DocId" minOccurs="0"/>
                <xsd:element ref="ns2:_dlc_DocIdUrl" minOccurs="0"/>
                <xsd:element ref="ns2:_dlc_DocIdPersistId" minOccurs="0"/>
                <xsd:element ref="ns2:eb8b7db388bc4140bd95f8a51c0d7637" minOccurs="0"/>
                <xsd:element ref="ns2:TaxCatchAll" minOccurs="0"/>
                <xsd:element ref="ns2:TaxCatchAllLabel" minOccurs="0"/>
                <xsd:element ref="ns3:o22e9e7f4c00422eaa43f4e11919b04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c2f10-aa69-4313-85a6-7993153acb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b8b7db388bc4140bd95f8a51c0d7637" ma:index="11" nillable="true" ma:taxonomy="true" ma:internalName="eb8b7db388bc4140bd95f8a51c0d7637" ma:taxonomyFieldName="DocumentType" ma:displayName="Document Type" ma:readOnly="false" ma:default="" ma:fieldId="{eb8b7db3-88bc-4140-bd95-f8a51c0d7637}" ma:sspId="d32122a6-dc81-4492-ba82-784bdd217129" ma:termSetId="ff3a10f3-a0ae-4e82-8655-5b0eb31d986a"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943eb7b-75db-4047-b1b7-894d797e544f}" ma:internalName="TaxCatchAll" ma:showField="CatchAllData" ma:web="d2dc2f10-aa69-4313-85a6-7993153acb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943eb7b-75db-4047-b1b7-894d797e544f}" ma:internalName="TaxCatchAllLabel" ma:readOnly="true" ma:showField="CatchAllDataLabel" ma:web="d2dc2f10-aa69-4313-85a6-7993153acb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c1fd84-8f4b-464b-9ae4-397cdaabe133" elementFormDefault="qualified">
    <xsd:import namespace="http://schemas.microsoft.com/office/2006/documentManagement/types"/>
    <xsd:import namespace="http://schemas.microsoft.com/office/infopath/2007/PartnerControls"/>
    <xsd:element name="o22e9e7f4c00422eaa43f4e11919b04b" ma:index="16" nillable="true" ma:taxonomy="true" ma:internalName="o22e9e7f4c00422eaa43f4e11919b04b" ma:taxonomyFieldName="Year" ma:displayName="Year" ma:default="" ma:fieldId="{822e9e7f-4c00-422e-aa43-f4e11919b04b}" ma:sspId="6d721ad6-eca4-4ecc-ac38-44b9dadab06e" ma:termSetId="19ad949a-0ec4-4834-a2d8-9f0f0d49f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b8b7db388bc4140bd95f8a51c0d7637 xmlns="d2dc2f10-aa69-4313-85a6-7993153acb6a">
      <Terms xmlns="http://schemas.microsoft.com/office/infopath/2007/PartnerControls"/>
    </eb8b7db388bc4140bd95f8a51c0d7637>
    <TaxCatchAll xmlns="d2dc2f10-aa69-4313-85a6-7993153acb6a"/>
    <o22e9e7f4c00422eaa43f4e11919b04b xmlns="d4c1fd84-8f4b-464b-9ae4-397cdaabe133">
      <Terms xmlns="http://schemas.microsoft.com/office/infopath/2007/PartnerControls"/>
    </o22e9e7f4c00422eaa43f4e11919b04b>
    <_dlc_DocId xmlns="d2dc2f10-aa69-4313-85a6-7993153acb6a">3WXZ4WST75VJ-863414519-48</_dlc_DocId>
    <_dlc_DocIdUrl xmlns="d2dc2f10-aa69-4313-85a6-7993153acb6a">
      <Url>https://starcentral.investa.com.au/Office/RealestateOperations/MarketingCommunications/_layouts/15/DocIdRedir.aspx?ID=3WXZ4WST75VJ-863414519-48</Url>
      <Description>3WXZ4WST75VJ-863414519-48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1B5A-6060-4F8E-BDF0-73CD302B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c2f10-aa69-4313-85a6-7993153acb6a"/>
    <ds:schemaRef ds:uri="d4c1fd84-8f4b-464b-9ae4-397cdaab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83BA6-2210-4F29-87C2-9ED396EE4A1B}">
  <ds:schemaRefs>
    <ds:schemaRef ds:uri="http://schemas.microsoft.com/sharepoint/events"/>
  </ds:schemaRefs>
</ds:datastoreItem>
</file>

<file path=customXml/itemProps3.xml><?xml version="1.0" encoding="utf-8"?>
<ds:datastoreItem xmlns:ds="http://schemas.openxmlformats.org/officeDocument/2006/customXml" ds:itemID="{DB3B2CA3-3829-40EA-8E82-D0C9FF7EE3E5}">
  <ds:schemaRefs>
    <ds:schemaRef ds:uri="http://schemas.microsoft.com/sharepoint/v3/contenttype/forms"/>
  </ds:schemaRefs>
</ds:datastoreItem>
</file>

<file path=customXml/itemProps4.xml><?xml version="1.0" encoding="utf-8"?>
<ds:datastoreItem xmlns:ds="http://schemas.openxmlformats.org/officeDocument/2006/customXml" ds:itemID="{F3283C4B-FED4-46DD-B3D2-C4876E608B22}">
  <ds:schemaRefs>
    <ds:schemaRef ds:uri="http://schemas.microsoft.com/office/2006/metadata/properties"/>
    <ds:schemaRef ds:uri="http://schemas.microsoft.com/office/infopath/2007/PartnerControls"/>
    <ds:schemaRef ds:uri="d2dc2f10-aa69-4313-85a6-7993153acb6a"/>
    <ds:schemaRef ds:uri="d4c1fd84-8f4b-464b-9ae4-397cdaabe133"/>
  </ds:schemaRefs>
</ds:datastoreItem>
</file>

<file path=customXml/itemProps5.xml><?xml version="1.0" encoding="utf-8"?>
<ds:datastoreItem xmlns:ds="http://schemas.openxmlformats.org/officeDocument/2006/customXml" ds:itemID="{EF4ED57F-2D82-4C69-801D-2BDCB96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keywords>PUBLIC -</cp:keywords>
  <dc:description>PUBLIC -</dc:description>
  <cp:lastModifiedBy>Aneil Tripathy</cp:lastModifiedBy>
  <cp:revision>9</cp:revision>
  <cp:lastPrinted>2016-08-10T16:13:00Z</cp:lastPrinted>
  <dcterms:created xsi:type="dcterms:W3CDTF">2017-04-13T09:02:00Z</dcterms:created>
  <dcterms:modified xsi:type="dcterms:W3CDTF">2017-04-13T09:40:00Z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ContentTypeId">
    <vt:lpwstr>0x01010002729F642F6CEA4E94F7A9640FDAED8100A72A0C21DBDAA44BB1A32E2945526C59</vt:lpwstr>
  </property>
  <property fmtid="{D5CDD505-2E9C-101B-9397-08002B2CF9AE}" pid="7" name="Year">
    <vt:lpwstr/>
  </property>
  <property fmtid="{D5CDD505-2E9C-101B-9397-08002B2CF9AE}" pid="8" name="DocumentType">
    <vt:lpwstr/>
  </property>
  <property fmtid="{D5CDD505-2E9C-101B-9397-08002B2CF9AE}" pid="9" name="_dlc_DocIdItemGuid">
    <vt:lpwstr>2acbb46a-634b-4614-8309-187ad836598a</vt:lpwstr>
  </property>
</Properties>
</file>