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44B07" w14:textId="4DFB84BC" w:rsidR="000D69E8" w:rsidRPr="00F95393" w:rsidRDefault="003047EC" w:rsidP="00B26503">
      <w:pPr>
        <w:pStyle w:val="Heading2"/>
        <w:jc w:val="center"/>
        <w:rPr>
          <w:sz w:val="32"/>
        </w:rPr>
      </w:pPr>
      <w:bookmarkStart w:id="0" w:name="_Hlk528932252"/>
      <w:r w:rsidRPr="00F95393">
        <w:rPr>
          <w:sz w:val="32"/>
        </w:rPr>
        <w:t xml:space="preserve">Climate Bonds Standard </w:t>
      </w:r>
      <w:r w:rsidR="00464250">
        <w:rPr>
          <w:sz w:val="32"/>
        </w:rPr>
        <w:t xml:space="preserve">Version 2.1 </w:t>
      </w:r>
      <w:proofErr w:type="gramStart"/>
      <w:r w:rsidRPr="00F95393">
        <w:rPr>
          <w:sz w:val="32"/>
        </w:rPr>
        <w:t>Pre Issuance</w:t>
      </w:r>
      <w:proofErr w:type="gramEnd"/>
      <w:r w:rsidRPr="00F95393">
        <w:rPr>
          <w:sz w:val="32"/>
        </w:rPr>
        <w:t xml:space="preserve"> Certification </w:t>
      </w:r>
      <w:r w:rsidR="00416E70" w:rsidRPr="00F95393">
        <w:rPr>
          <w:sz w:val="32"/>
        </w:rPr>
        <w:t>Requirements</w:t>
      </w:r>
    </w:p>
    <w:bookmarkEnd w:id="0"/>
    <w:p w14:paraId="348A0C40" w14:textId="77777777" w:rsidR="003047EC" w:rsidRDefault="003047EC"/>
    <w:tbl>
      <w:tblPr>
        <w:tblStyle w:val="TableGrid"/>
        <w:tblW w:w="10494" w:type="dxa"/>
        <w:tblInd w:w="-743" w:type="dxa"/>
        <w:tblLook w:val="04A0" w:firstRow="1" w:lastRow="0" w:firstColumn="1" w:lastColumn="0" w:noHBand="0" w:noVBand="1"/>
      </w:tblPr>
      <w:tblGrid>
        <w:gridCol w:w="5104"/>
        <w:gridCol w:w="3798"/>
        <w:gridCol w:w="1523"/>
        <w:gridCol w:w="69"/>
      </w:tblGrid>
      <w:tr w:rsidR="00A43303" w14:paraId="6CFA4FE7" w14:textId="74656D3B" w:rsidTr="008B66C7">
        <w:tc>
          <w:tcPr>
            <w:tcW w:w="10494" w:type="dxa"/>
            <w:gridSpan w:val="4"/>
            <w:tcBorders>
              <w:bottom w:val="single" w:sz="4" w:space="0" w:color="auto"/>
            </w:tcBorders>
            <w:shd w:val="clear" w:color="auto" w:fill="99CCFF"/>
          </w:tcPr>
          <w:p w14:paraId="3745FE41" w14:textId="77777777" w:rsidR="00D61CFF" w:rsidRDefault="001F4238" w:rsidP="00D61CFF">
            <w:pPr>
              <w:autoSpaceDE w:val="0"/>
              <w:autoSpaceDN w:val="0"/>
              <w:adjustRightInd w:val="0"/>
              <w:rPr>
                <w:rFonts w:ascii="STSongti-SC-Bold" w:eastAsia="STSongti-SC-Bold" w:hAnsi="Whitney-Book" w:cs="STSongti-SC-Bold"/>
                <w:b/>
                <w:bCs/>
                <w:color w:val="1F497D"/>
              </w:rPr>
            </w:pPr>
            <w:r>
              <w:rPr>
                <w:rFonts w:ascii="Calibri" w:hAnsi="Calibri"/>
                <w:b/>
                <w:color w:val="FFFFFF" w:themeColor="background1"/>
                <w:sz w:val="28"/>
                <w:szCs w:val="28"/>
              </w:rPr>
              <w:t>1</w:t>
            </w:r>
            <w:r w:rsidR="00A43303">
              <w:rPr>
                <w:rFonts w:ascii="Calibri" w:hAnsi="Calibri"/>
                <w:b/>
                <w:color w:val="FFFFFF" w:themeColor="background1"/>
                <w:sz w:val="28"/>
                <w:szCs w:val="28"/>
              </w:rPr>
              <w:t xml:space="preserve">. </w:t>
            </w:r>
            <w:r w:rsidR="00D61CFF">
              <w:rPr>
                <w:rFonts w:ascii="Whitney-Book" w:hAnsi="Whitney-Book" w:cs="Whitney-Book"/>
                <w:color w:val="1F497D"/>
                <w:sz w:val="21"/>
                <w:szCs w:val="21"/>
              </w:rPr>
              <w:t xml:space="preserve">1. </w:t>
            </w:r>
            <w:proofErr w:type="spellStart"/>
            <w:r w:rsidR="00D61CFF">
              <w:rPr>
                <w:rFonts w:ascii="STSongti-SC-Bold" w:eastAsia="STSongti-SC-Bold" w:hAnsi="Whitney-Book" w:cs="STSongti-SC-Bold" w:hint="eastAsia"/>
                <w:b/>
                <w:bCs/>
                <w:color w:val="1F497D"/>
              </w:rPr>
              <w:t>指定项⽬和资产的筛选</w:t>
            </w:r>
            <w:proofErr w:type="spellEnd"/>
          </w:p>
          <w:p w14:paraId="721C5BCE" w14:textId="1337D690" w:rsidR="00A43303" w:rsidRDefault="00A43303" w:rsidP="00045E45">
            <w:pPr>
              <w:pStyle w:val="TableParagraph"/>
              <w:ind w:right="504"/>
              <w:jc w:val="center"/>
              <w:rPr>
                <w:rFonts w:ascii="Calibri" w:hAnsi="Calibri"/>
                <w:b/>
                <w:color w:val="FFFFFF" w:themeColor="background1"/>
                <w:sz w:val="28"/>
                <w:szCs w:val="28"/>
              </w:rPr>
            </w:pPr>
          </w:p>
        </w:tc>
      </w:tr>
      <w:tr w:rsidR="00381104" w:rsidRPr="000D69E8" w14:paraId="55F54F24" w14:textId="44FAD2EA" w:rsidTr="008B66C7">
        <w:trPr>
          <w:gridAfter w:val="1"/>
          <w:wAfter w:w="69" w:type="dxa"/>
          <w:trHeight w:val="405"/>
        </w:trPr>
        <w:tc>
          <w:tcPr>
            <w:tcW w:w="5104" w:type="dxa"/>
            <w:shd w:val="clear" w:color="auto" w:fill="99CCFF"/>
          </w:tcPr>
          <w:p w14:paraId="57402B87" w14:textId="5555190C" w:rsidR="00A43303" w:rsidRPr="00E56099" w:rsidRDefault="00A43303" w:rsidP="00045E45">
            <w:pPr>
              <w:pStyle w:val="TableParagraph"/>
              <w:ind w:right="504"/>
              <w:jc w:val="center"/>
              <w:rPr>
                <w:rFonts w:ascii="Calibri" w:hAnsi="Calibri"/>
                <w:b/>
                <w:sz w:val="24"/>
                <w:szCs w:val="24"/>
              </w:rPr>
            </w:pPr>
            <w:r w:rsidRPr="00E56099">
              <w:rPr>
                <w:rFonts w:ascii="Calibri" w:hAnsi="Calibri"/>
                <w:b/>
                <w:sz w:val="24"/>
                <w:szCs w:val="24"/>
              </w:rPr>
              <w:t xml:space="preserve">Climate Bonds Standard Requirement </w:t>
            </w:r>
          </w:p>
        </w:tc>
        <w:tc>
          <w:tcPr>
            <w:tcW w:w="3798" w:type="dxa"/>
            <w:shd w:val="clear" w:color="auto" w:fill="99CCFF"/>
          </w:tcPr>
          <w:p w14:paraId="53D2B84D" w14:textId="7E6D885B" w:rsidR="00A43303" w:rsidRPr="000D69E8" w:rsidRDefault="00A43303" w:rsidP="00505760">
            <w:pPr>
              <w:jc w:val="center"/>
              <w:rPr>
                <w:rFonts w:ascii="Calibri" w:hAnsi="Calibri"/>
                <w:b/>
              </w:rPr>
            </w:pPr>
            <w:r>
              <w:rPr>
                <w:rFonts w:ascii="Calibri" w:hAnsi="Calibri"/>
                <w:b/>
              </w:rPr>
              <w:t xml:space="preserve">Findings </w:t>
            </w:r>
          </w:p>
        </w:tc>
        <w:tc>
          <w:tcPr>
            <w:tcW w:w="1523" w:type="dxa"/>
            <w:shd w:val="clear" w:color="auto" w:fill="99CCFF"/>
          </w:tcPr>
          <w:p w14:paraId="657A3632" w14:textId="501E6435" w:rsidR="00A43303" w:rsidRDefault="008E4CB5" w:rsidP="00505760">
            <w:pPr>
              <w:jc w:val="center"/>
              <w:rPr>
                <w:rFonts w:ascii="Calibri" w:hAnsi="Calibri"/>
                <w:b/>
              </w:rPr>
            </w:pPr>
            <w:r>
              <w:rPr>
                <w:rFonts w:ascii="Calibri" w:hAnsi="Calibri"/>
                <w:b/>
              </w:rPr>
              <w:t xml:space="preserve">Requirement </w:t>
            </w:r>
            <w:r w:rsidR="00951672">
              <w:rPr>
                <w:rFonts w:ascii="Calibri" w:hAnsi="Calibri"/>
                <w:b/>
              </w:rPr>
              <w:t xml:space="preserve">Met </w:t>
            </w:r>
            <w:r w:rsidR="00381104">
              <w:rPr>
                <w:rFonts w:ascii="Calibri" w:hAnsi="Calibri"/>
                <w:b/>
              </w:rPr>
              <w:t xml:space="preserve"> </w:t>
            </w:r>
          </w:p>
        </w:tc>
      </w:tr>
      <w:tr w:rsidR="00381104" w14:paraId="7A0ABAF9" w14:textId="1C7DF82E" w:rsidTr="008B66C7">
        <w:trPr>
          <w:gridAfter w:val="1"/>
          <w:wAfter w:w="69" w:type="dxa"/>
        </w:trPr>
        <w:tc>
          <w:tcPr>
            <w:tcW w:w="5104" w:type="dxa"/>
          </w:tcPr>
          <w:p w14:paraId="0D1FE504" w14:textId="77777777" w:rsidR="00D61CFF" w:rsidRDefault="00D61CFF" w:rsidP="00D61CFF">
            <w:pPr>
              <w:autoSpaceDE w:val="0"/>
              <w:autoSpaceDN w:val="0"/>
              <w:adjustRightInd w:val="0"/>
              <w:rPr>
                <w:rFonts w:ascii="STSongti-SC-Regular" w:eastAsia="STSongti-SC-Regular" w:hAnsi="Whitney-Book" w:cs="STSongti-SC-Regular"/>
                <w:color w:val="000000"/>
              </w:rPr>
            </w:pPr>
            <w:r>
              <w:rPr>
                <w:rFonts w:ascii="Whitney-Book" w:hAnsi="Whitney-Book" w:cs="Whitney-Book"/>
                <w:color w:val="000000"/>
              </w:rPr>
              <w:t xml:space="preserve">1.1. </w:t>
            </w:r>
            <w:proofErr w:type="spellStart"/>
            <w:r>
              <w:rPr>
                <w:rFonts w:ascii="STSongti-SC-Regular" w:eastAsia="STSongti-SC-Regular" w:hAnsi="Whitney-Book" w:cs="STSongti-SC-Regular" w:hint="eastAsia"/>
                <w:color w:val="000000"/>
              </w:rPr>
              <w:t>在确定指定项⽬及资产的是否合格时，发</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应建</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存档和保持决策流程。这包括但不限于</w:t>
            </w:r>
            <w:proofErr w:type="spellEnd"/>
            <w:r>
              <w:rPr>
                <w:rFonts w:ascii="STSongti-SC-Regular" w:eastAsia="STSongti-SC-Regular" w:hAnsi="Whitney-Book" w:cs="STSongti-SC-Regular" w:hint="eastAsia"/>
                <w:color w:val="000000"/>
              </w:rPr>
              <w:t>：</w:t>
            </w:r>
          </w:p>
          <w:p w14:paraId="1BA18965" w14:textId="77777777" w:rsidR="00D61CFF" w:rsidRDefault="00D61CFF" w:rsidP="00D61CFF">
            <w:pPr>
              <w:autoSpaceDE w:val="0"/>
              <w:autoSpaceDN w:val="0"/>
              <w:adjustRightInd w:val="0"/>
              <w:rPr>
                <w:rFonts w:ascii="STSongti-SC-Regular" w:eastAsia="STSongti-SC-Regular" w:hAnsi="Whitney-Book" w:cs="STSongti-SC-Regular"/>
                <w:color w:val="000000"/>
              </w:rPr>
            </w:pPr>
            <w:r>
              <w:rPr>
                <w:rFonts w:ascii="Whitney-Book" w:hAnsi="Whitney-Book" w:cs="Whitney-Book"/>
                <w:color w:val="000000"/>
              </w:rPr>
              <w:t xml:space="preserve">1.1.1. </w:t>
            </w:r>
            <w:proofErr w:type="spellStart"/>
            <w:r>
              <w:rPr>
                <w:rFonts w:ascii="STSongti-SC-Regular" w:eastAsia="STSongti-SC-Regular" w:hAnsi="Whitney-Book" w:cs="STSongti-SC-Regular" w:hint="eastAsia"/>
                <w:color w:val="000000"/>
              </w:rPr>
              <w:t>债券环境效益⽬标声明</w:t>
            </w:r>
            <w:proofErr w:type="spellEnd"/>
          </w:p>
          <w:p w14:paraId="1F20B159" w14:textId="77777777" w:rsidR="00D61CFF" w:rsidRDefault="00D61CFF" w:rsidP="00D61CFF">
            <w:pPr>
              <w:autoSpaceDE w:val="0"/>
              <w:autoSpaceDN w:val="0"/>
              <w:adjustRightInd w:val="0"/>
              <w:rPr>
                <w:rFonts w:ascii="STSongti-SC-Regular" w:eastAsia="STSongti-SC-Regular" w:hAnsi="Whitney-Book" w:cs="STSongti-SC-Regular"/>
                <w:color w:val="000000"/>
              </w:rPr>
            </w:pPr>
            <w:r>
              <w:rPr>
                <w:rFonts w:ascii="STSongti-SC-Regular" w:eastAsia="STSongti-SC-Regular" w:hAnsi="Whitney-Book" w:cs="STSongti-SC-Regular" w:hint="eastAsia"/>
                <w:color w:val="000000"/>
              </w:rPr>
              <w:t>注：⽓</w:t>
            </w:r>
            <w:proofErr w:type="spellStart"/>
            <w:r>
              <w:rPr>
                <w:rFonts w:ascii="STSongti-SC-Regular" w:eastAsia="STSongti-SC-Regular" w:hAnsi="Whitney-Book" w:cs="STSongti-SC-Regular" w:hint="eastAsia"/>
                <w:color w:val="000000"/>
              </w:rPr>
              <w:t>候债券的环境效益⽬标种类繁多，可包含⼴义的环境效益⽬标如提⾼低碳资产</w:t>
            </w:r>
            <w:proofErr w:type="spellEnd"/>
          </w:p>
          <w:p w14:paraId="23B79776" w14:textId="03E084F6" w:rsidR="00D61CFF" w:rsidRDefault="00D61CFF" w:rsidP="00D61CFF">
            <w:pPr>
              <w:autoSpaceDE w:val="0"/>
              <w:autoSpaceDN w:val="0"/>
              <w:adjustRightInd w:val="0"/>
              <w:rPr>
                <w:rFonts w:ascii="STSongti-SC-Regular" w:eastAsia="STSongti-SC-Regular" w:hAnsi="Whitney-Book" w:cs="STSongti-SC-Regular"/>
                <w:color w:val="000000"/>
              </w:rPr>
            </w:pPr>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如太阳能设备）的装机容量；也可包含具体的有关项</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运营的效益⽬标或间接影响的⽬标，如取代电⽹中碳排放量⾼的能源以实现减排⽬标。发</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阐述的环境效益⽬标将</w:t>
            </w:r>
            <w:proofErr w:type="spellEnd"/>
          </w:p>
          <w:p w14:paraId="553A4F06" w14:textId="77777777" w:rsidR="00D61CFF" w:rsidRDefault="00D61CFF" w:rsidP="00D61CFF">
            <w:pPr>
              <w:autoSpaceDE w:val="0"/>
              <w:autoSpaceDN w:val="0"/>
              <w:adjustRightInd w:val="0"/>
              <w:rPr>
                <w:rFonts w:ascii="STSongti-SC-Regular" w:eastAsia="STSongti-SC-Regular" w:hAnsi="Whitney-Book" w:cs="STSongti-SC-Regular"/>
                <w:color w:val="000000"/>
              </w:rPr>
            </w:pPr>
            <w:proofErr w:type="spellStart"/>
            <w:r>
              <w:rPr>
                <w:rFonts w:ascii="STSongti-SC-Regular" w:eastAsia="STSongti-SC-Regular" w:hAnsi="Whitney-Book" w:cs="STSongti-SC-Regular" w:hint="eastAsia"/>
                <w:color w:val="000000"/>
              </w:rPr>
              <w:t>直接影响⽓候债券标准对债券报告的要求</w:t>
            </w:r>
            <w:proofErr w:type="spellEnd"/>
            <w:r>
              <w:rPr>
                <w:rFonts w:ascii="STSongti-SC-Regular" w:eastAsia="STSongti-SC-Regular" w:hAnsi="Whitney-Book" w:cs="STSongti-SC-Regular" w:hint="eastAsia"/>
                <w:color w:val="000000"/>
              </w:rPr>
              <w:t>。</w:t>
            </w:r>
          </w:p>
          <w:p w14:paraId="38F68C1F" w14:textId="77777777" w:rsidR="00D61CFF" w:rsidRDefault="00D61CFF" w:rsidP="00D61CFF">
            <w:pPr>
              <w:autoSpaceDE w:val="0"/>
              <w:autoSpaceDN w:val="0"/>
              <w:adjustRightInd w:val="0"/>
              <w:rPr>
                <w:rFonts w:ascii="STSongti-SC-Regular" w:eastAsia="STSongti-SC-Regular" w:hAnsi="Whitney-Book" w:cs="STSongti-SC-Regular"/>
                <w:color w:val="000000"/>
              </w:rPr>
            </w:pPr>
            <w:r>
              <w:rPr>
                <w:rFonts w:ascii="Whitney-Book" w:hAnsi="Whitney-Book" w:cs="Whitney-Book"/>
                <w:color w:val="000000"/>
              </w:rPr>
              <w:t xml:space="preserve">1.1.2. </w:t>
            </w:r>
            <w:proofErr w:type="spellStart"/>
            <w:r>
              <w:rPr>
                <w:rFonts w:ascii="STSongti-SC-Regular" w:eastAsia="STSongti-SC-Regular" w:hAnsi="Whitney-Book" w:cs="STSongti-SC-Regular" w:hint="eastAsia"/>
                <w:color w:val="000000"/>
              </w:rPr>
              <w:t>决定指定项⽬及资产是否满</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候债券标准</w:t>
            </w:r>
            <w:proofErr w:type="spellEnd"/>
            <w:r>
              <w:rPr>
                <w:rFonts w:ascii="SimSun" w:eastAsia="SimSun" w:hAnsi="Whitney-Book" w:cs="SimSun"/>
                <w:color w:val="000000"/>
              </w:rPr>
              <w:t xml:space="preserve">B </w:t>
            </w:r>
            <w:proofErr w:type="spellStart"/>
            <w:r>
              <w:rPr>
                <w:rFonts w:ascii="STSongti-SC-Regular" w:eastAsia="STSongti-SC-Regular" w:hAnsi="Whitney-Book" w:cs="STSongti-SC-Regular" w:hint="eastAsia"/>
                <w:color w:val="000000"/>
              </w:rPr>
              <w:t>部分所列要求的流程</w:t>
            </w:r>
            <w:proofErr w:type="spellEnd"/>
            <w:r>
              <w:rPr>
                <w:rFonts w:ascii="STSongti-SC-Regular" w:eastAsia="STSongti-SC-Regular" w:hAnsi="Whitney-Book" w:cs="STSongti-SC-Regular" w:hint="eastAsia"/>
                <w:color w:val="000000"/>
              </w:rPr>
              <w:t>。</w:t>
            </w:r>
          </w:p>
          <w:p w14:paraId="3EEA0ADE" w14:textId="2F7741B1" w:rsidR="0081738A" w:rsidRDefault="0081738A" w:rsidP="004C18F1">
            <w:pPr>
              <w:ind w:left="170"/>
            </w:pPr>
          </w:p>
        </w:tc>
        <w:tc>
          <w:tcPr>
            <w:tcW w:w="3798" w:type="dxa"/>
          </w:tcPr>
          <w:p w14:paraId="33AFCAFA" w14:textId="77777777" w:rsidR="00A43303" w:rsidRDefault="00A43303"/>
        </w:tc>
        <w:tc>
          <w:tcPr>
            <w:tcW w:w="1523" w:type="dxa"/>
          </w:tcPr>
          <w:p w14:paraId="27A6B249" w14:textId="77777777" w:rsidR="00A43303" w:rsidRDefault="00A43303"/>
        </w:tc>
      </w:tr>
      <w:tr w:rsidR="00381104" w14:paraId="63A539B7" w14:textId="29FCF237" w:rsidTr="008B66C7">
        <w:trPr>
          <w:gridAfter w:val="1"/>
          <w:wAfter w:w="69" w:type="dxa"/>
        </w:trPr>
        <w:tc>
          <w:tcPr>
            <w:tcW w:w="5104" w:type="dxa"/>
          </w:tcPr>
          <w:p w14:paraId="1CA9710F" w14:textId="046E101E" w:rsidR="00D61CFF" w:rsidRDefault="00D61CFF" w:rsidP="00D61CFF">
            <w:pPr>
              <w:autoSpaceDE w:val="0"/>
              <w:autoSpaceDN w:val="0"/>
              <w:adjustRightInd w:val="0"/>
              <w:rPr>
                <w:rFonts w:ascii="STSongti-SC-Regular" w:eastAsia="STSongti-SC-Regular" w:hAnsi="Whitney-Book" w:cs="STSongti-SC-Regular"/>
                <w:color w:val="000000"/>
              </w:rPr>
            </w:pPr>
            <w:r>
              <w:rPr>
                <w:rFonts w:ascii="Whitney-Book" w:hAnsi="Whitney-Book" w:cs="Whitney-Book"/>
                <w:color w:val="000000"/>
              </w:rPr>
              <w:t xml:space="preserve">1.2. </w:t>
            </w:r>
            <w:r>
              <w:rPr>
                <w:rFonts w:ascii="STSongti-SC-Regular" w:eastAsia="STSongti-SC-Regular" w:hAnsi="Whitney-Book" w:cs="STSongti-SC-Regular" w:hint="eastAsia"/>
                <w:color w:val="000000"/>
              </w:rPr>
              <w:t>发⾏⼈</w:t>
            </w:r>
            <w:proofErr w:type="spellStart"/>
            <w:r>
              <w:rPr>
                <w:rFonts w:ascii="STSongti-SC-Regular" w:eastAsia="STSongti-SC-Regular" w:hAnsi="Whitney-Book" w:cs="STSongti-SC-Regular" w:hint="eastAsia"/>
                <w:color w:val="000000"/>
              </w:rPr>
              <w:t>应评估所有拟定的指定项⽬和资产是否与条款</w:t>
            </w:r>
            <w:proofErr w:type="spellEnd"/>
            <w:r>
              <w:rPr>
                <w:rFonts w:ascii="Whitney-Book" w:hAnsi="Whitney-Book" w:cs="Whitney-Book"/>
                <w:color w:val="000000"/>
              </w:rPr>
              <w:t xml:space="preserve">1.1 </w:t>
            </w:r>
            <w:proofErr w:type="spellStart"/>
            <w:r>
              <w:rPr>
                <w:rFonts w:ascii="STSongti-SC-Regular" w:eastAsia="STSongti-SC-Regular" w:hAnsi="Whitney-Book" w:cs="STSongti-SC-Regular" w:hint="eastAsia"/>
                <w:color w:val="000000"/>
              </w:rPr>
              <w:t>项所阐述的环境效益</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标⼀致，以及是否会符合⽓候债券标准</w:t>
            </w:r>
            <w:proofErr w:type="spellEnd"/>
            <w:r>
              <w:rPr>
                <w:rFonts w:ascii="Whitney-Book" w:hAnsi="Whitney-Book" w:cs="Whitney-Book"/>
                <w:color w:val="000000"/>
              </w:rPr>
              <w:t xml:space="preserve">B </w:t>
            </w:r>
            <w:proofErr w:type="spellStart"/>
            <w:r>
              <w:rPr>
                <w:rFonts w:ascii="STSongti-SC-Regular" w:eastAsia="STSongti-SC-Regular" w:hAnsi="Whitney-Book" w:cs="STSongti-SC-Regular" w:hint="eastAsia"/>
                <w:color w:val="000000"/>
              </w:rPr>
              <w:t>部分中的相关合规要求</w:t>
            </w:r>
            <w:proofErr w:type="spellEnd"/>
            <w:r>
              <w:rPr>
                <w:rFonts w:ascii="STSongti-SC-Regular" w:eastAsia="STSongti-SC-Regular" w:hAnsi="Whitney-Book" w:cs="STSongti-SC-Regular" w:hint="eastAsia"/>
                <w:color w:val="000000"/>
              </w:rPr>
              <w:t>。</w:t>
            </w:r>
          </w:p>
          <w:p w14:paraId="73F8CA47" w14:textId="4633AA4B" w:rsidR="00A43303" w:rsidRDefault="00A43303" w:rsidP="0081738A"/>
        </w:tc>
        <w:tc>
          <w:tcPr>
            <w:tcW w:w="3798" w:type="dxa"/>
          </w:tcPr>
          <w:p w14:paraId="2A74F344" w14:textId="77777777" w:rsidR="00A43303" w:rsidRDefault="00A43303"/>
        </w:tc>
        <w:tc>
          <w:tcPr>
            <w:tcW w:w="1523" w:type="dxa"/>
          </w:tcPr>
          <w:p w14:paraId="67E50437" w14:textId="77777777" w:rsidR="00A43303" w:rsidRDefault="00A43303"/>
        </w:tc>
      </w:tr>
      <w:tr w:rsidR="00B54846" w14:paraId="5F566F5C" w14:textId="77777777" w:rsidTr="008B66C7">
        <w:trPr>
          <w:gridAfter w:val="1"/>
          <w:wAfter w:w="69" w:type="dxa"/>
        </w:trPr>
        <w:tc>
          <w:tcPr>
            <w:tcW w:w="5104" w:type="dxa"/>
            <w:tcBorders>
              <w:bottom w:val="single" w:sz="4" w:space="0" w:color="auto"/>
            </w:tcBorders>
          </w:tcPr>
          <w:p w14:paraId="6134E8C5" w14:textId="0D6CFABC" w:rsidR="00D61CFF" w:rsidRDefault="00D61CFF" w:rsidP="00D61CFF">
            <w:pPr>
              <w:autoSpaceDE w:val="0"/>
              <w:autoSpaceDN w:val="0"/>
              <w:adjustRightInd w:val="0"/>
              <w:rPr>
                <w:rFonts w:ascii="STSongti-SC-Regular" w:eastAsia="STSongti-SC-Regular" w:hAnsi="Whitney-Book" w:cs="STSongti-SC-Regular"/>
                <w:color w:val="000000"/>
              </w:rPr>
            </w:pPr>
            <w:r>
              <w:rPr>
                <w:rFonts w:ascii="Whitney-Book" w:hAnsi="Whitney-Book" w:cs="Whitney-Book"/>
                <w:color w:val="000000"/>
              </w:rPr>
              <w:t xml:space="preserve">1.3. </w:t>
            </w:r>
            <w:r>
              <w:rPr>
                <w:rFonts w:ascii="STSongti-SC-Regular" w:eastAsia="STSongti-SC-Regular" w:hAnsi="Whitney-Book" w:cs="STSongti-SC-Regular" w:hint="eastAsia"/>
                <w:color w:val="000000"/>
              </w:rPr>
              <w:t>发⾏⼈</w:t>
            </w:r>
            <w:proofErr w:type="spellStart"/>
            <w:r>
              <w:rPr>
                <w:rFonts w:ascii="STSongti-SC-Regular" w:eastAsia="STSongti-SC-Regular" w:hAnsi="Whitney-Book" w:cs="STSongti-SC-Regular" w:hint="eastAsia"/>
                <w:color w:val="000000"/>
              </w:rPr>
              <w:t>应将所有与债券挂钩的、经过评估后能够满⾜合格项</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资产和项⽬合规要求的拟定的指定项⽬和资产归档。发</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需建⽴指定项⽬资产的清单，并在债券存续期内不断更新</w:t>
            </w:r>
            <w:proofErr w:type="spellEnd"/>
            <w:r>
              <w:rPr>
                <w:rFonts w:ascii="STSongti-SC-Regular" w:eastAsia="STSongti-SC-Regular" w:hAnsi="Whitney-Book" w:cs="STSongti-SC-Regular" w:hint="eastAsia"/>
                <w:color w:val="000000"/>
              </w:rPr>
              <w:t>。</w:t>
            </w:r>
          </w:p>
          <w:p w14:paraId="02BBBBE6" w14:textId="2203B719" w:rsidR="00B54846" w:rsidRDefault="00B54846" w:rsidP="002D2945">
            <w:pPr>
              <w:rPr>
                <w:rFonts w:ascii="Calibri" w:hAnsi="Calibri"/>
                <w:b/>
              </w:rPr>
            </w:pPr>
          </w:p>
        </w:tc>
        <w:tc>
          <w:tcPr>
            <w:tcW w:w="3798" w:type="dxa"/>
            <w:tcBorders>
              <w:bottom w:val="single" w:sz="4" w:space="0" w:color="auto"/>
            </w:tcBorders>
          </w:tcPr>
          <w:p w14:paraId="77241934" w14:textId="77777777" w:rsidR="00B54846" w:rsidRDefault="00B54846"/>
        </w:tc>
        <w:tc>
          <w:tcPr>
            <w:tcW w:w="1523" w:type="dxa"/>
            <w:tcBorders>
              <w:bottom w:val="single" w:sz="4" w:space="0" w:color="auto"/>
            </w:tcBorders>
          </w:tcPr>
          <w:p w14:paraId="3EE7D801" w14:textId="77777777" w:rsidR="00B54846" w:rsidRDefault="00B54846"/>
        </w:tc>
      </w:tr>
      <w:tr w:rsidR="00381104" w14:paraId="10E1CAD7" w14:textId="57DFA2D2" w:rsidTr="008B66C7">
        <w:trPr>
          <w:gridAfter w:val="1"/>
          <w:wAfter w:w="69" w:type="dxa"/>
        </w:trPr>
        <w:tc>
          <w:tcPr>
            <w:tcW w:w="5104" w:type="dxa"/>
          </w:tcPr>
          <w:p w14:paraId="1C7EF4B5" w14:textId="77777777" w:rsidR="00D61CFF" w:rsidRDefault="00D61CFF" w:rsidP="00D61CFF">
            <w:pPr>
              <w:autoSpaceDE w:val="0"/>
              <w:autoSpaceDN w:val="0"/>
              <w:adjustRightInd w:val="0"/>
              <w:rPr>
                <w:rFonts w:ascii="STSongti-SC-Regular" w:eastAsia="STSongti-SC-Regular" w:hAnsi="Whitney-Book" w:cs="STSongti-SC-Regular"/>
                <w:color w:val="000000"/>
              </w:rPr>
            </w:pPr>
            <w:r>
              <w:rPr>
                <w:rFonts w:ascii="Whitney-Book" w:hAnsi="Whitney-Book" w:cs="Whitney-Book"/>
                <w:color w:val="000000"/>
              </w:rPr>
              <w:t xml:space="preserve">1.4. </w:t>
            </w:r>
            <w:proofErr w:type="spellStart"/>
            <w:r>
              <w:rPr>
                <w:rFonts w:ascii="STSongti-SC-Regular" w:eastAsia="STSongti-SC-Regular" w:hAnsi="Whitney-Book" w:cs="STSongti-SC-Regular" w:hint="eastAsia"/>
                <w:color w:val="000000"/>
              </w:rPr>
              <w:t>已指定的项⽬和资产通常不能和其他认证的⽓候债券挂钩，除⾮发</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证实所指定项⽬和资产</w:t>
            </w:r>
            <w:proofErr w:type="spellEnd"/>
          </w:p>
          <w:p w14:paraId="097CCF6B" w14:textId="28DBBBBD" w:rsidR="00D61CFF" w:rsidRDefault="00D61CFF" w:rsidP="00D61CFF">
            <w:pPr>
              <w:autoSpaceDE w:val="0"/>
              <w:autoSpaceDN w:val="0"/>
              <w:adjustRightInd w:val="0"/>
              <w:rPr>
                <w:rFonts w:ascii="STSongti-SC-Regular" w:eastAsia="STSongti-SC-Regular" w:hAnsi="Whitney-Book" w:cs="STSongti-SC-Regular"/>
                <w:color w:val="000000"/>
              </w:rPr>
            </w:pPr>
            <w:proofErr w:type="spellStart"/>
            <w:r>
              <w:rPr>
                <w:rFonts w:ascii="STSongti-SC-Regular" w:eastAsia="STSongti-SC-Regular" w:hAnsi="Whitney-Book" w:cs="STSongti-SC-Regular" w:hint="eastAsia"/>
                <w:color w:val="000000"/>
              </w:rPr>
              <w:lastRenderedPageBreak/>
              <w:t>由不同的认证的⽓候债券进⾏融资的⽐例，或现有认证的⽓候债券将通过另</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认证的⽓候债券进⾏再融资</w:t>
            </w:r>
            <w:proofErr w:type="spellEnd"/>
            <w:r>
              <w:rPr>
                <w:rFonts w:ascii="STSongti-SC-Regular" w:eastAsia="STSongti-SC-Regular" w:hAnsi="Whitney-Book" w:cs="STSongti-SC-Regular" w:hint="eastAsia"/>
                <w:color w:val="000000"/>
              </w:rPr>
              <w:t>。</w:t>
            </w:r>
          </w:p>
          <w:p w14:paraId="54A3FC4B" w14:textId="7689B8AE" w:rsidR="00A43303" w:rsidRDefault="00A43303"/>
        </w:tc>
        <w:tc>
          <w:tcPr>
            <w:tcW w:w="3798" w:type="dxa"/>
          </w:tcPr>
          <w:p w14:paraId="3212A8C8" w14:textId="77777777" w:rsidR="00A43303" w:rsidRDefault="00A43303"/>
        </w:tc>
        <w:tc>
          <w:tcPr>
            <w:tcW w:w="1523" w:type="dxa"/>
          </w:tcPr>
          <w:p w14:paraId="39764142" w14:textId="77777777" w:rsidR="00A43303" w:rsidRDefault="00A43303"/>
        </w:tc>
      </w:tr>
      <w:tr w:rsidR="00580A11" w14:paraId="73F3B2BA" w14:textId="77777777" w:rsidTr="008B66C7">
        <w:trPr>
          <w:gridAfter w:val="1"/>
          <w:wAfter w:w="69" w:type="dxa"/>
        </w:trPr>
        <w:tc>
          <w:tcPr>
            <w:tcW w:w="5104" w:type="dxa"/>
            <w:tcBorders>
              <w:bottom w:val="single" w:sz="4" w:space="0" w:color="auto"/>
            </w:tcBorders>
          </w:tcPr>
          <w:p w14:paraId="361082C2" w14:textId="10BE1968" w:rsidR="00D61CFF" w:rsidRDefault="00D61CFF" w:rsidP="00D61CFF">
            <w:pPr>
              <w:autoSpaceDE w:val="0"/>
              <w:autoSpaceDN w:val="0"/>
              <w:adjustRightInd w:val="0"/>
              <w:rPr>
                <w:rFonts w:ascii="STSongti-SC-Regular" w:eastAsia="STSongti-SC-Regular" w:hAnsi="Whitney-Book" w:cs="STSongti-SC-Regular"/>
                <w:color w:val="000000"/>
              </w:rPr>
            </w:pPr>
            <w:r>
              <w:rPr>
                <w:rFonts w:ascii="Whitney-Book" w:hAnsi="Whitney-Book" w:cs="Whitney-Book"/>
                <w:color w:val="000000"/>
              </w:rPr>
              <w:t xml:space="preserve">1.5. </w:t>
            </w:r>
            <w:proofErr w:type="spellStart"/>
            <w:r>
              <w:rPr>
                <w:rFonts w:ascii="STSongti-SC-Regular" w:eastAsia="STSongti-SC-Regular" w:hAnsi="Whitney-Book" w:cs="STSongti-SC-Regular" w:hint="eastAsia"/>
                <w:color w:val="000000"/>
              </w:rPr>
              <w:t>预期的净募集资⾦不得超过发</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承担的指定项</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和资产的相关债务，或指定项⽬和资产的公允市场价值。发</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应持有指定项⽬和资产</w:t>
            </w:r>
            <w:proofErr w:type="spellEnd"/>
            <w:r>
              <w:rPr>
                <w:rFonts w:ascii="STSongti-SC-Regular" w:eastAsia="STSongti-SC-Regular" w:hAnsi="Whitney-Book" w:cs="STSongti-SC-Regular" w:hint="eastAsia"/>
                <w:color w:val="000000"/>
              </w:rPr>
              <w:t>。</w:t>
            </w:r>
          </w:p>
          <w:p w14:paraId="32751874" w14:textId="77777777" w:rsidR="00D61CFF" w:rsidRDefault="00D61CFF" w:rsidP="00D61CFF">
            <w:pPr>
              <w:autoSpaceDE w:val="0"/>
              <w:autoSpaceDN w:val="0"/>
              <w:adjustRightInd w:val="0"/>
              <w:rPr>
                <w:rFonts w:ascii="STSongti-SC-Regular" w:eastAsia="STSongti-SC-Regular" w:hAnsi="Whitney-Book" w:cs="STSongti-SC-Regular"/>
                <w:color w:val="000000"/>
              </w:rPr>
            </w:pPr>
            <w:proofErr w:type="spellStart"/>
            <w:r>
              <w:rPr>
                <w:rFonts w:ascii="STSongti-SC-Regular" w:eastAsia="STSongti-SC-Regular" w:hAnsi="Whitney-Book" w:cs="STSongti-SC-Regular" w:hint="eastAsia"/>
                <w:color w:val="000000"/>
              </w:rPr>
              <w:t>注：在满⾜条例</w:t>
            </w:r>
            <w:proofErr w:type="spellEnd"/>
            <w:r>
              <w:rPr>
                <w:rFonts w:ascii="Whitney-BookItalic" w:hAnsi="Whitney-BookItalic" w:cs="Whitney-BookItalic"/>
                <w:i/>
                <w:iCs/>
                <w:color w:val="000000"/>
              </w:rPr>
              <w:t>1.5</w:t>
            </w:r>
            <w:proofErr w:type="spellStart"/>
            <w:r>
              <w:rPr>
                <w:rFonts w:ascii="STSongti-SC-Regular" w:eastAsia="STSongti-SC-Regular" w:hAnsi="Whitney-Book" w:cs="STSongti-SC-Regular" w:hint="eastAsia"/>
                <w:color w:val="000000"/>
              </w:rPr>
              <w:t>的情况下，发</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可选择是使⽤指定项⽬和资产的相关债务还是使⽤指定</w:t>
            </w:r>
            <w:proofErr w:type="spellEnd"/>
          </w:p>
          <w:p w14:paraId="5137FB06" w14:textId="77777777" w:rsidR="00D61CFF" w:rsidRDefault="00D61CFF" w:rsidP="00D61CFF">
            <w:pPr>
              <w:autoSpaceDE w:val="0"/>
              <w:autoSpaceDN w:val="0"/>
              <w:adjustRightInd w:val="0"/>
              <w:rPr>
                <w:rFonts w:ascii="STSongti-SC-Regular" w:eastAsia="STSongti-SC-Regular" w:hAnsi="Whitney-Book" w:cs="STSongti-SC-Regular"/>
                <w:color w:val="000000"/>
              </w:rPr>
            </w:pPr>
            <w:proofErr w:type="spellStart"/>
            <w:r>
              <w:rPr>
                <w:rFonts w:ascii="STSongti-SC-Regular" w:eastAsia="STSongti-SC-Regular" w:hAnsi="Whitney-Book" w:cs="STSongti-SC-Regular" w:hint="eastAsia"/>
                <w:color w:val="000000"/>
              </w:rPr>
              <w:t>项⽬资产的公允市场价值</w:t>
            </w:r>
            <w:proofErr w:type="spellEnd"/>
            <w:r>
              <w:rPr>
                <w:rFonts w:ascii="STSongti-SC-Regular" w:eastAsia="STSongti-SC-Regular" w:hAnsi="Whitney-Book" w:cs="STSongti-SC-Regular" w:hint="eastAsia"/>
                <w:color w:val="000000"/>
              </w:rPr>
              <w:t>。</w:t>
            </w:r>
          </w:p>
          <w:p w14:paraId="71C37E3B" w14:textId="0E4CFBF8" w:rsidR="00580A11" w:rsidRDefault="00580A11" w:rsidP="002D2945">
            <w:pPr>
              <w:rPr>
                <w:rFonts w:ascii="Calibri" w:hAnsi="Calibri"/>
                <w:b/>
              </w:rPr>
            </w:pPr>
          </w:p>
        </w:tc>
        <w:tc>
          <w:tcPr>
            <w:tcW w:w="3798" w:type="dxa"/>
            <w:tcBorders>
              <w:bottom w:val="single" w:sz="4" w:space="0" w:color="auto"/>
            </w:tcBorders>
          </w:tcPr>
          <w:p w14:paraId="73CE9158" w14:textId="77777777" w:rsidR="00580A11" w:rsidRDefault="00580A11"/>
        </w:tc>
        <w:tc>
          <w:tcPr>
            <w:tcW w:w="1523" w:type="dxa"/>
            <w:tcBorders>
              <w:bottom w:val="single" w:sz="4" w:space="0" w:color="auto"/>
            </w:tcBorders>
          </w:tcPr>
          <w:p w14:paraId="56AADD2C" w14:textId="77777777" w:rsidR="00580A11" w:rsidRDefault="00580A11"/>
        </w:tc>
      </w:tr>
    </w:tbl>
    <w:p w14:paraId="6F0CEEB6" w14:textId="77777777" w:rsidR="002E6F0F" w:rsidRDefault="002E6F0F"/>
    <w:p w14:paraId="09778217" w14:textId="77777777" w:rsidR="002E25F7" w:rsidRDefault="002E25F7"/>
    <w:tbl>
      <w:tblPr>
        <w:tblStyle w:val="TableGrid"/>
        <w:tblW w:w="10349" w:type="dxa"/>
        <w:tblInd w:w="-743" w:type="dxa"/>
        <w:tblLayout w:type="fixed"/>
        <w:tblLook w:val="04A0" w:firstRow="1" w:lastRow="0" w:firstColumn="1" w:lastColumn="0" w:noHBand="0" w:noVBand="1"/>
      </w:tblPr>
      <w:tblGrid>
        <w:gridCol w:w="5104"/>
        <w:gridCol w:w="3685"/>
        <w:gridCol w:w="1560"/>
      </w:tblGrid>
      <w:tr w:rsidR="001F4238" w14:paraId="11E65FA6" w14:textId="77777777" w:rsidTr="008B66C7">
        <w:trPr>
          <w:trHeight w:val="515"/>
        </w:trPr>
        <w:tc>
          <w:tcPr>
            <w:tcW w:w="10349" w:type="dxa"/>
            <w:gridSpan w:val="3"/>
            <w:shd w:val="clear" w:color="auto" w:fill="99CCFF"/>
          </w:tcPr>
          <w:p w14:paraId="1D5CF316" w14:textId="3A9B8EF1" w:rsidR="001F4238" w:rsidRDefault="001F4238" w:rsidP="000B5FAA">
            <w:pPr>
              <w:pStyle w:val="TableParagraph"/>
              <w:ind w:right="504"/>
              <w:jc w:val="center"/>
              <w:rPr>
                <w:rFonts w:ascii="Calibri" w:hAnsi="Calibri"/>
                <w:b/>
                <w:color w:val="FFFFFF" w:themeColor="background1"/>
                <w:sz w:val="28"/>
                <w:szCs w:val="28"/>
              </w:rPr>
            </w:pPr>
            <w:r>
              <w:rPr>
                <w:rFonts w:ascii="Calibri" w:hAnsi="Calibri"/>
                <w:b/>
                <w:color w:val="FFFFFF" w:themeColor="background1"/>
                <w:sz w:val="28"/>
                <w:szCs w:val="28"/>
              </w:rPr>
              <w:t xml:space="preserve"> </w:t>
            </w:r>
            <w:r w:rsidR="00D61CFF" w:rsidRPr="00D61CFF">
              <w:rPr>
                <w:rFonts w:ascii="Calibri" w:hAnsi="Calibri" w:hint="eastAsia"/>
                <w:b/>
                <w:color w:val="FFFFFF" w:themeColor="background1"/>
                <w:sz w:val="28"/>
                <w:szCs w:val="28"/>
              </w:rPr>
              <w:t xml:space="preserve">2. </w:t>
            </w:r>
            <w:proofErr w:type="spellStart"/>
            <w:r w:rsidR="00D61CFF" w:rsidRPr="00D61CFF">
              <w:rPr>
                <w:rFonts w:ascii="MS Gothic" w:eastAsia="MS Gothic" w:hAnsi="MS Gothic" w:cs="MS Gothic" w:hint="eastAsia"/>
                <w:b/>
                <w:color w:val="FFFFFF" w:themeColor="background1"/>
                <w:sz w:val="28"/>
                <w:szCs w:val="28"/>
              </w:rPr>
              <w:t>内部控制流程</w:t>
            </w:r>
            <w:proofErr w:type="spellEnd"/>
          </w:p>
        </w:tc>
      </w:tr>
      <w:tr w:rsidR="001F4238" w14:paraId="61C8CAA6" w14:textId="77777777" w:rsidTr="008B66C7">
        <w:trPr>
          <w:trHeight w:val="581"/>
        </w:trPr>
        <w:tc>
          <w:tcPr>
            <w:tcW w:w="5104" w:type="dxa"/>
            <w:shd w:val="clear" w:color="auto" w:fill="99CCFF"/>
          </w:tcPr>
          <w:p w14:paraId="4DF00FD0" w14:textId="77777777" w:rsidR="001F4238" w:rsidRPr="008E4CB5" w:rsidRDefault="001F4238" w:rsidP="008D5B7F">
            <w:pPr>
              <w:jc w:val="center"/>
              <w:rPr>
                <w:rFonts w:ascii="Calibri" w:hAnsi="Calibri"/>
                <w:b/>
              </w:rPr>
            </w:pPr>
            <w:r w:rsidRPr="008E4CB5">
              <w:rPr>
                <w:rFonts w:ascii="Calibri" w:hAnsi="Calibri"/>
                <w:b/>
              </w:rPr>
              <w:t>Climate Bonds Standard Requirement</w:t>
            </w:r>
          </w:p>
        </w:tc>
        <w:tc>
          <w:tcPr>
            <w:tcW w:w="3685" w:type="dxa"/>
            <w:shd w:val="clear" w:color="auto" w:fill="99CCFF"/>
          </w:tcPr>
          <w:p w14:paraId="0D9B745C" w14:textId="77777777" w:rsidR="001F4238" w:rsidRPr="008E4CB5" w:rsidRDefault="001F4238" w:rsidP="000B5FAA">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Findings </w:t>
            </w:r>
          </w:p>
        </w:tc>
        <w:tc>
          <w:tcPr>
            <w:tcW w:w="1560" w:type="dxa"/>
            <w:shd w:val="clear" w:color="auto" w:fill="99CCFF"/>
          </w:tcPr>
          <w:p w14:paraId="555C98BA" w14:textId="77777777" w:rsidR="008E4CB5" w:rsidRPr="008E4CB5" w:rsidRDefault="008E4CB5" w:rsidP="000B5FAA">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1FCBA013" w14:textId="0F76A31F" w:rsidR="001F4238" w:rsidRPr="008E4CB5" w:rsidRDefault="001F4238" w:rsidP="000B5FAA">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Met </w:t>
            </w:r>
          </w:p>
        </w:tc>
      </w:tr>
      <w:tr w:rsidR="008B66C7" w:rsidRPr="00E553EB" w14:paraId="5C946EF3" w14:textId="77777777" w:rsidTr="008B66C7">
        <w:tc>
          <w:tcPr>
            <w:tcW w:w="5104" w:type="dxa"/>
          </w:tcPr>
          <w:p w14:paraId="3D9C4EE5" w14:textId="125E682D" w:rsidR="008B66C7" w:rsidRPr="008B66C7" w:rsidRDefault="008B66C7" w:rsidP="008B66C7">
            <w:pPr>
              <w:rPr>
                <w:rFonts w:ascii="Calibri" w:hAnsi="Calibri"/>
                <w:bCs/>
              </w:rPr>
            </w:pPr>
            <w:r w:rsidRPr="008B66C7">
              <w:rPr>
                <w:rFonts w:ascii="Calibri" w:hAnsi="Calibri"/>
                <w:bCs/>
              </w:rPr>
              <w:t>2.</w:t>
            </w:r>
            <w:proofErr w:type="spellStart"/>
            <w:r w:rsidRPr="008B66C7">
              <w:rPr>
                <w:rFonts w:ascii="Microsoft JhengHei" w:eastAsia="Microsoft JhengHei" w:hAnsi="Microsoft JhengHei" w:cs="Microsoft JhengHei" w:hint="eastAsia"/>
                <w:bCs/>
              </w:rPr>
              <w:t>债</w:t>
            </w:r>
            <w:r w:rsidRPr="008B66C7">
              <w:rPr>
                <w:rFonts w:ascii="MS Mincho" w:eastAsia="MS Mincho" w:hAnsi="MS Mincho" w:cs="MS Mincho" w:hint="eastAsia"/>
                <w:bCs/>
              </w:rPr>
              <w:t>券募集</w:t>
            </w:r>
            <w:r w:rsidRPr="008B66C7">
              <w:rPr>
                <w:rFonts w:ascii="Microsoft JhengHei" w:eastAsia="Microsoft JhengHei" w:hAnsi="Microsoft JhengHei" w:cs="Microsoft JhengHei" w:hint="eastAsia"/>
                <w:bCs/>
              </w:rPr>
              <w:t>资⾦</w:t>
            </w:r>
            <w:r w:rsidRPr="008B66C7">
              <w:rPr>
                <w:rFonts w:ascii="MS Mincho" w:eastAsia="MS Mincho" w:hAnsi="MS Mincho" w:cs="MS Mincho" w:hint="eastAsia"/>
                <w:bCs/>
              </w:rPr>
              <w:t>的管理和投</w:t>
            </w:r>
            <w:r w:rsidRPr="008B66C7">
              <w:rPr>
                <w:rFonts w:ascii="Microsoft JhengHei" w:eastAsia="Microsoft JhengHei" w:hAnsi="Microsoft JhengHei" w:cs="Microsoft JhengHei" w:hint="eastAsia"/>
                <w:bCs/>
              </w:rPr>
              <w:t>资</w:t>
            </w:r>
            <w:r w:rsidRPr="008B66C7">
              <w:rPr>
                <w:rFonts w:ascii="MS Mincho" w:eastAsia="MS Mincho" w:hAnsi="MS Mincho" w:cs="MS Mincho" w:hint="eastAsia"/>
                <w:bCs/>
              </w:rPr>
              <w:t>的相关系</w:t>
            </w:r>
            <w:r w:rsidRPr="008B66C7">
              <w:rPr>
                <w:rFonts w:ascii="Microsoft JhengHei" w:eastAsia="Microsoft JhengHei" w:hAnsi="Microsoft JhengHei" w:cs="Microsoft JhengHei" w:hint="eastAsia"/>
                <w:bCs/>
              </w:rPr>
              <w:t>统</w:t>
            </w:r>
            <w:r w:rsidRPr="008B66C7">
              <w:rPr>
                <w:rFonts w:ascii="MS Mincho" w:eastAsia="MS Mincho" w:hAnsi="MS Mincho" w:cs="MS Mincho" w:hint="eastAsia"/>
                <w:bCs/>
              </w:rPr>
              <w:t>、政策和流程</w:t>
            </w:r>
            <w:r w:rsidRPr="008B66C7">
              <w:rPr>
                <w:rFonts w:ascii="Microsoft JhengHei" w:eastAsia="Microsoft JhengHei" w:hAnsi="Microsoft JhengHei" w:cs="Microsoft JhengHei" w:hint="eastAsia"/>
                <w:bCs/>
              </w:rPr>
              <w:t>应</w:t>
            </w:r>
            <w:r w:rsidRPr="008B66C7">
              <w:rPr>
                <w:rFonts w:ascii="MS Mincho" w:eastAsia="MS Mincho" w:hAnsi="MS Mincho" w:cs="MS Mincho" w:hint="eastAsia"/>
                <w:bCs/>
              </w:rPr>
              <w:t>由</w:t>
            </w:r>
            <w:r w:rsidRPr="008B66C7">
              <w:rPr>
                <w:rFonts w:ascii="Microsoft JhengHei" w:eastAsia="Microsoft JhengHei" w:hAnsi="Microsoft JhengHei" w:cs="Microsoft JhengHei" w:hint="eastAsia"/>
                <w:bCs/>
              </w:rPr>
              <w:t>发</w:t>
            </w:r>
            <w:proofErr w:type="spellEnd"/>
            <w:r w:rsidRPr="008B66C7">
              <w:rPr>
                <w:rFonts w:ascii="Microsoft JhengHei" w:eastAsia="Microsoft JhengHei" w:hAnsi="Microsoft JhengHei" w:cs="Microsoft JhengHei" w:hint="eastAsia"/>
                <w:bCs/>
              </w:rPr>
              <w:t>⾏⼈</w:t>
            </w:r>
            <w:proofErr w:type="spellStart"/>
            <w:r w:rsidRPr="008B66C7">
              <w:rPr>
                <w:rFonts w:ascii="Microsoft JhengHei" w:eastAsia="Microsoft JhengHei" w:hAnsi="Microsoft JhengHei" w:cs="Microsoft JhengHei" w:hint="eastAsia"/>
                <w:bCs/>
              </w:rPr>
              <w:t>归</w:t>
            </w:r>
            <w:r w:rsidRPr="008B66C7">
              <w:rPr>
                <w:rFonts w:ascii="MS Mincho" w:eastAsia="MS Mincho" w:hAnsi="MS Mincho" w:cs="MS Mincho" w:hint="eastAsia"/>
                <w:bCs/>
              </w:rPr>
              <w:t>档，并向核</w:t>
            </w:r>
            <w:r w:rsidRPr="008B66C7">
              <w:rPr>
                <w:rFonts w:ascii="Microsoft JhengHei" w:eastAsia="Microsoft JhengHei" w:hAnsi="Microsoft JhengHei" w:cs="Microsoft JhengHei" w:hint="eastAsia"/>
                <w:bCs/>
              </w:rPr>
              <w:t>查</w:t>
            </w:r>
            <w:r w:rsidRPr="008B66C7">
              <w:rPr>
                <w:rFonts w:ascii="MS Mincho" w:eastAsia="MS Mincho" w:hAnsi="MS Mincho" w:cs="MS Mincho" w:hint="eastAsia"/>
                <w:bCs/>
              </w:rPr>
              <w:t>机</w:t>
            </w:r>
            <w:r w:rsidRPr="008B66C7">
              <w:rPr>
                <w:rFonts w:ascii="Calibri" w:hAnsi="Calibri" w:hint="eastAsia"/>
                <w:bCs/>
              </w:rPr>
              <w:t>构披露。</w:t>
            </w:r>
            <w:r w:rsidRPr="008B66C7">
              <w:rPr>
                <w:rFonts w:ascii="Microsoft JhengHei" w:eastAsia="Microsoft JhengHei" w:hAnsi="Microsoft JhengHei" w:cs="Microsoft JhengHei" w:hint="eastAsia"/>
                <w:bCs/>
              </w:rPr>
              <w:t>这</w:t>
            </w:r>
            <w:proofErr w:type="spellEnd"/>
          </w:p>
          <w:p w14:paraId="3F01B3DE" w14:textId="308B8D78" w:rsidR="008B66C7" w:rsidRPr="00F515D1" w:rsidRDefault="008B66C7" w:rsidP="008B66C7">
            <w:pPr>
              <w:rPr>
                <w:rFonts w:ascii="Calibri" w:hAnsi="Calibri"/>
                <w:b/>
              </w:rPr>
            </w:pPr>
            <w:proofErr w:type="spellStart"/>
            <w:r w:rsidRPr="008B66C7">
              <w:rPr>
                <w:rFonts w:ascii="Calibri" w:hAnsi="Calibri" w:hint="eastAsia"/>
                <w:bCs/>
              </w:rPr>
              <w:t>些系</w:t>
            </w:r>
            <w:r w:rsidRPr="008B66C7">
              <w:rPr>
                <w:rFonts w:ascii="Microsoft JhengHei" w:eastAsia="Microsoft JhengHei" w:hAnsi="Microsoft JhengHei" w:cs="Microsoft JhengHei" w:hint="eastAsia"/>
                <w:bCs/>
              </w:rPr>
              <w:t>统</w:t>
            </w:r>
            <w:r w:rsidRPr="008B66C7">
              <w:rPr>
                <w:rFonts w:ascii="MS Mincho" w:eastAsia="MS Mincho" w:hAnsi="MS Mincho" w:cs="MS Mincho" w:hint="eastAsia"/>
                <w:bCs/>
              </w:rPr>
              <w:t>、政策和流程</w:t>
            </w:r>
            <w:r w:rsidRPr="008B66C7">
              <w:rPr>
                <w:rFonts w:ascii="Microsoft JhengHei" w:eastAsia="Microsoft JhengHei" w:hAnsi="Microsoft JhengHei" w:cs="Microsoft JhengHei" w:hint="eastAsia"/>
                <w:bCs/>
              </w:rPr>
              <w:t>应</w:t>
            </w:r>
            <w:r w:rsidRPr="008B66C7">
              <w:rPr>
                <w:rFonts w:ascii="MS Mincho" w:eastAsia="MS Mincho" w:hAnsi="MS Mincho" w:cs="MS Mincho" w:hint="eastAsia"/>
                <w:bCs/>
              </w:rPr>
              <w:t>包含以下活</w:t>
            </w:r>
            <w:r w:rsidRPr="008B66C7">
              <w:rPr>
                <w:rFonts w:ascii="Microsoft JhengHei" w:eastAsia="Microsoft JhengHei" w:hAnsi="Microsoft JhengHei" w:cs="Microsoft JhengHei" w:hint="eastAsia"/>
                <w:bCs/>
              </w:rPr>
              <w:t>动</w:t>
            </w:r>
            <w:r w:rsidRPr="008B66C7">
              <w:rPr>
                <w:rFonts w:ascii="MS Mincho" w:eastAsia="MS Mincho" w:hAnsi="MS Mincho" w:cs="MS Mincho" w:hint="eastAsia"/>
                <w:bCs/>
              </w:rPr>
              <w:t>的安排</w:t>
            </w:r>
            <w:proofErr w:type="spellEnd"/>
            <w:r w:rsidRPr="008B66C7">
              <w:rPr>
                <w:rFonts w:ascii="Calibri" w:hAnsi="Calibri" w:hint="eastAsia"/>
                <w:bCs/>
              </w:rPr>
              <w:t>：</w:t>
            </w:r>
          </w:p>
        </w:tc>
        <w:tc>
          <w:tcPr>
            <w:tcW w:w="3685" w:type="dxa"/>
          </w:tcPr>
          <w:p w14:paraId="3F5E1933" w14:textId="77777777" w:rsidR="008B66C7" w:rsidRPr="00E553EB" w:rsidRDefault="008B66C7" w:rsidP="006341D8">
            <w:pPr>
              <w:rPr>
                <w:rFonts w:ascii="Calibri" w:hAnsi="Calibri"/>
              </w:rPr>
            </w:pPr>
          </w:p>
        </w:tc>
        <w:tc>
          <w:tcPr>
            <w:tcW w:w="1560" w:type="dxa"/>
          </w:tcPr>
          <w:p w14:paraId="17F9934B" w14:textId="77777777" w:rsidR="008B66C7" w:rsidRPr="00E553EB" w:rsidRDefault="008B66C7" w:rsidP="000B5FAA">
            <w:pPr>
              <w:rPr>
                <w:rFonts w:ascii="Calibri" w:hAnsi="Calibri"/>
              </w:rPr>
            </w:pPr>
          </w:p>
        </w:tc>
      </w:tr>
      <w:tr w:rsidR="001F4238" w:rsidRPr="00E553EB" w14:paraId="7CFAD1D5" w14:textId="77777777" w:rsidTr="008B66C7">
        <w:tc>
          <w:tcPr>
            <w:tcW w:w="5104" w:type="dxa"/>
          </w:tcPr>
          <w:p w14:paraId="6F1322A9" w14:textId="0A20EE61" w:rsidR="001F4238" w:rsidRPr="008B66C7" w:rsidRDefault="008B66C7" w:rsidP="008B66C7">
            <w:pPr>
              <w:rPr>
                <w:rFonts w:ascii="Calibri" w:hAnsi="Calibri"/>
                <w:bCs/>
              </w:rPr>
            </w:pPr>
            <w:r w:rsidRPr="008B66C7">
              <w:rPr>
                <w:rFonts w:ascii="Calibri" w:hAnsi="Calibri"/>
                <w:bCs/>
              </w:rPr>
              <w:t xml:space="preserve">2.1. </w:t>
            </w:r>
            <w:proofErr w:type="spellStart"/>
            <w:r w:rsidRPr="008B66C7">
              <w:rPr>
                <w:rFonts w:ascii="Calibri" w:hAnsi="Calibri" w:hint="eastAsia"/>
                <w:bCs/>
              </w:rPr>
              <w:t>追踪募集</w:t>
            </w:r>
            <w:r w:rsidRPr="008B66C7">
              <w:rPr>
                <w:rFonts w:ascii="Microsoft JhengHei" w:eastAsia="Microsoft JhengHei" w:hAnsi="Microsoft JhengHei" w:cs="Microsoft JhengHei" w:hint="eastAsia"/>
                <w:bCs/>
              </w:rPr>
              <w:t>资</w:t>
            </w:r>
            <w:proofErr w:type="spellEnd"/>
            <w:r w:rsidRPr="008B66C7">
              <w:rPr>
                <w:rFonts w:ascii="Microsoft JhengHei" w:eastAsia="Microsoft JhengHei" w:hAnsi="Microsoft JhengHei" w:cs="Microsoft JhengHei" w:hint="eastAsia"/>
                <w:bCs/>
              </w:rPr>
              <w:t>⾦</w:t>
            </w:r>
            <w:r w:rsidRPr="008B66C7">
              <w:rPr>
                <w:rFonts w:ascii="MS Mincho" w:eastAsia="MS Mincho" w:hAnsi="MS Mincho" w:cs="MS Mincho" w:hint="eastAsia"/>
                <w:bCs/>
              </w:rPr>
              <w:t>：</w:t>
            </w:r>
            <w:proofErr w:type="spellStart"/>
            <w:r w:rsidRPr="008B66C7">
              <w:rPr>
                <w:rFonts w:ascii="Microsoft JhengHei" w:eastAsia="Microsoft JhengHei" w:hAnsi="Microsoft JhengHei" w:cs="Microsoft JhengHei" w:hint="eastAsia"/>
                <w:bCs/>
              </w:rPr>
              <w:t>债</w:t>
            </w:r>
            <w:r w:rsidRPr="008B66C7">
              <w:rPr>
                <w:rFonts w:ascii="MS Mincho" w:eastAsia="MS Mincho" w:hAnsi="MS Mincho" w:cs="MS Mincho" w:hint="eastAsia"/>
                <w:bCs/>
              </w:rPr>
              <w:t>券</w:t>
            </w:r>
            <w:r w:rsidRPr="008B66C7">
              <w:rPr>
                <w:rFonts w:ascii="Microsoft JhengHei" w:eastAsia="Microsoft JhengHei" w:hAnsi="Microsoft JhengHei" w:cs="Microsoft JhengHei" w:hint="eastAsia"/>
                <w:bCs/>
              </w:rPr>
              <w:t>净</w:t>
            </w:r>
            <w:r w:rsidRPr="008B66C7">
              <w:rPr>
                <w:rFonts w:ascii="MS Mincho" w:eastAsia="MS Mincho" w:hAnsi="MS Mincho" w:cs="MS Mincho" w:hint="eastAsia"/>
                <w:bCs/>
              </w:rPr>
              <w:t>募集</w:t>
            </w:r>
            <w:r w:rsidRPr="008B66C7">
              <w:rPr>
                <w:rFonts w:ascii="Microsoft JhengHei" w:eastAsia="Microsoft JhengHei" w:hAnsi="Microsoft JhengHei" w:cs="Microsoft JhengHei" w:hint="eastAsia"/>
                <w:bCs/>
              </w:rPr>
              <w:t>资⾦</w:t>
            </w:r>
            <w:r w:rsidRPr="008B66C7">
              <w:rPr>
                <w:rFonts w:ascii="MS Mincho" w:eastAsia="MS Mincho" w:hAnsi="MS Mincho" w:cs="MS Mincho" w:hint="eastAsia"/>
                <w:bCs/>
              </w:rPr>
              <w:t>可划</w:t>
            </w:r>
            <w:r w:rsidRPr="008B66C7">
              <w:rPr>
                <w:rFonts w:ascii="Microsoft JhengHei" w:eastAsia="Microsoft JhengHei" w:hAnsi="Microsoft JhengHei" w:cs="Microsoft JhengHei" w:hint="eastAsia"/>
                <w:bCs/>
              </w:rPr>
              <w:t>拨⾄专项⼦账户</w:t>
            </w:r>
            <w:r w:rsidRPr="008B66C7">
              <w:rPr>
                <w:rFonts w:ascii="MS Mincho" w:eastAsia="MS Mincho" w:hAnsi="MS Mincho" w:cs="MS Mincho" w:hint="eastAsia"/>
                <w:bCs/>
              </w:rPr>
              <w:t>，移</w:t>
            </w:r>
            <w:proofErr w:type="spellEnd"/>
            <w:r w:rsidRPr="008B66C7">
              <w:rPr>
                <w:rFonts w:ascii="Microsoft JhengHei" w:eastAsia="Microsoft JhengHei" w:hAnsi="Microsoft JhengHei" w:cs="Microsoft JhengHei" w:hint="eastAsia"/>
                <w:bCs/>
              </w:rPr>
              <w:t>⾄⼦</w:t>
            </w:r>
            <w:proofErr w:type="spellStart"/>
            <w:r w:rsidRPr="008B66C7">
              <w:rPr>
                <w:rFonts w:ascii="MS Mincho" w:eastAsia="MS Mincho" w:hAnsi="MS Mincho" w:cs="MS Mincho" w:hint="eastAsia"/>
                <w:bCs/>
              </w:rPr>
              <w:t>投</w:t>
            </w:r>
            <w:r w:rsidRPr="008B66C7">
              <w:rPr>
                <w:rFonts w:ascii="Microsoft JhengHei" w:eastAsia="Microsoft JhengHei" w:hAnsi="Microsoft JhengHei" w:cs="Microsoft JhengHei" w:hint="eastAsia"/>
                <w:bCs/>
              </w:rPr>
              <w:t>资组</w:t>
            </w:r>
            <w:r w:rsidRPr="008B66C7">
              <w:rPr>
                <w:rFonts w:ascii="MS Mincho" w:eastAsia="MS Mincho" w:hAnsi="MS Mincho" w:cs="MS Mincho" w:hint="eastAsia"/>
                <w:bCs/>
              </w:rPr>
              <w:t>合，或由</w:t>
            </w:r>
            <w:r w:rsidRPr="008B66C7">
              <w:rPr>
                <w:rFonts w:ascii="Microsoft JhengHei" w:eastAsia="Microsoft JhengHei" w:hAnsi="Microsoft JhengHei" w:cs="Microsoft JhengHei" w:hint="eastAsia"/>
                <w:bCs/>
              </w:rPr>
              <w:t>发</w:t>
            </w:r>
            <w:proofErr w:type="spellEnd"/>
            <w:r w:rsidRPr="008B66C7">
              <w:rPr>
                <w:rFonts w:ascii="Microsoft JhengHei" w:eastAsia="Microsoft JhengHei" w:hAnsi="Microsoft JhengHei" w:cs="Microsoft JhengHei" w:hint="eastAsia"/>
                <w:bCs/>
              </w:rPr>
              <w:t>⾏⼈</w:t>
            </w:r>
            <w:proofErr w:type="spellStart"/>
            <w:r w:rsidRPr="008B66C7">
              <w:rPr>
                <w:rFonts w:ascii="Calibri" w:hAnsi="Calibri" w:hint="eastAsia"/>
                <w:bCs/>
              </w:rPr>
              <w:t>通</w:t>
            </w:r>
            <w:r w:rsidRPr="008B66C7">
              <w:rPr>
                <w:rFonts w:ascii="Microsoft JhengHei" w:eastAsia="Microsoft JhengHei" w:hAnsi="Microsoft JhengHei" w:cs="Microsoft JhengHei" w:hint="eastAsia"/>
                <w:bCs/>
              </w:rPr>
              <w:t>过</w:t>
            </w:r>
            <w:r w:rsidRPr="008B66C7">
              <w:rPr>
                <w:rFonts w:ascii="Calibri" w:hAnsi="Calibri" w:hint="eastAsia"/>
                <w:bCs/>
              </w:rPr>
              <w:t>恰当的</w:t>
            </w:r>
            <w:r w:rsidRPr="008B66C7">
              <w:rPr>
                <w:rFonts w:ascii="Microsoft JhengHei" w:eastAsia="Microsoft JhengHei" w:hAnsi="Microsoft JhengHei" w:cs="Microsoft JhengHei" w:hint="eastAsia"/>
                <w:bCs/>
              </w:rPr>
              <w:t>⽅</w:t>
            </w:r>
            <w:r w:rsidRPr="008B66C7">
              <w:rPr>
                <w:rFonts w:ascii="MS Mincho" w:eastAsia="MS Mincho" w:hAnsi="MS Mincho" w:cs="MS Mincho" w:hint="eastAsia"/>
                <w:bCs/>
              </w:rPr>
              <w:t>式</w:t>
            </w:r>
            <w:r w:rsidRPr="008B66C7">
              <w:rPr>
                <w:rFonts w:ascii="Microsoft JhengHei" w:eastAsia="Microsoft JhengHei" w:hAnsi="Microsoft JhengHei" w:cs="Microsoft JhengHei" w:hint="eastAsia"/>
                <w:bCs/>
              </w:rPr>
              <w:t>进⾏</w:t>
            </w:r>
            <w:r w:rsidRPr="008B66C7">
              <w:rPr>
                <w:rFonts w:ascii="MS Mincho" w:eastAsia="MS Mincho" w:hAnsi="MS Mincho" w:cs="MS Mincho" w:hint="eastAsia"/>
                <w:bCs/>
              </w:rPr>
              <w:t>追踪及</w:t>
            </w:r>
            <w:r w:rsidRPr="008B66C7">
              <w:rPr>
                <w:rFonts w:ascii="Microsoft JhengHei" w:eastAsia="Microsoft JhengHei" w:hAnsi="Microsoft JhengHei" w:cs="Microsoft JhengHei" w:hint="eastAsia"/>
                <w:bCs/>
              </w:rPr>
              <w:t>归</w:t>
            </w:r>
            <w:r w:rsidRPr="008B66C7">
              <w:rPr>
                <w:rFonts w:ascii="MS Mincho" w:eastAsia="MS Mincho" w:hAnsi="MS Mincho" w:cs="MS Mincho" w:hint="eastAsia"/>
                <w:bCs/>
              </w:rPr>
              <w:t>档</w:t>
            </w:r>
            <w:proofErr w:type="spellEnd"/>
            <w:r w:rsidRPr="008B66C7">
              <w:rPr>
                <w:rFonts w:ascii="Calibri" w:hAnsi="Calibri" w:hint="eastAsia"/>
                <w:bCs/>
              </w:rPr>
              <w:t>。</w:t>
            </w:r>
          </w:p>
        </w:tc>
        <w:tc>
          <w:tcPr>
            <w:tcW w:w="3685" w:type="dxa"/>
          </w:tcPr>
          <w:p w14:paraId="4C259DDD" w14:textId="2D1B9258" w:rsidR="001F4238" w:rsidRPr="00E553EB" w:rsidRDefault="001F4238" w:rsidP="006341D8">
            <w:pPr>
              <w:rPr>
                <w:rFonts w:ascii="Calibri" w:hAnsi="Calibri"/>
              </w:rPr>
            </w:pPr>
          </w:p>
        </w:tc>
        <w:tc>
          <w:tcPr>
            <w:tcW w:w="1560" w:type="dxa"/>
          </w:tcPr>
          <w:p w14:paraId="5A25F37C" w14:textId="77777777" w:rsidR="001F4238" w:rsidRPr="00E553EB" w:rsidRDefault="001F4238" w:rsidP="000B5FAA">
            <w:pPr>
              <w:rPr>
                <w:rFonts w:ascii="Calibri" w:hAnsi="Calibri"/>
              </w:rPr>
            </w:pPr>
          </w:p>
        </w:tc>
      </w:tr>
      <w:tr w:rsidR="001F4238" w:rsidRPr="00E553EB" w14:paraId="14B1588D" w14:textId="77777777" w:rsidTr="008B66C7">
        <w:tc>
          <w:tcPr>
            <w:tcW w:w="5104" w:type="dxa"/>
          </w:tcPr>
          <w:p w14:paraId="7CE68145" w14:textId="621F25E4" w:rsidR="008B66C7" w:rsidRDefault="008B66C7" w:rsidP="008B66C7">
            <w:pPr>
              <w:autoSpaceDE w:val="0"/>
              <w:autoSpaceDN w:val="0"/>
              <w:adjustRightInd w:val="0"/>
              <w:rPr>
                <w:rFonts w:ascii="STSongti-SC-Regular" w:eastAsia="STSongti-SC-Regular" w:hAnsi="Whitney-Book" w:cs="STSongti-SC-Regular"/>
                <w:color w:val="000000"/>
              </w:rPr>
            </w:pPr>
            <w:r>
              <w:rPr>
                <w:rFonts w:ascii="Whitney-Book" w:hAnsi="Whitney-Book" w:cs="Whitney-Book"/>
                <w:color w:val="000000"/>
              </w:rPr>
              <w:t>2.</w:t>
            </w:r>
            <w:r>
              <w:rPr>
                <w:rFonts w:ascii="Whitney-Book" w:hAnsi="Whitney-Book" w:cs="Whitney-Book"/>
                <w:color w:val="000000"/>
              </w:rPr>
              <w:t>2</w:t>
            </w:r>
            <w:r>
              <w:rPr>
                <w:rFonts w:ascii="Whitney-Book" w:hAnsi="Whitney-Book" w:cs="Whitney-Book"/>
                <w:color w:val="000000"/>
              </w:rPr>
              <w:t xml:space="preserve">. </w:t>
            </w:r>
            <w:proofErr w:type="spellStart"/>
            <w:r>
              <w:rPr>
                <w:rFonts w:ascii="STSongti-SC-Bold" w:eastAsia="STSongti-SC-Bold" w:hAnsi="Whitney-Book" w:cs="STSongti-SC-Bold" w:hint="eastAsia"/>
                <w:b/>
                <w:bCs/>
                <w:color w:val="000000"/>
              </w:rPr>
              <w:t>管理闲置资</w:t>
            </w:r>
            <w:proofErr w:type="spellEnd"/>
            <w:r>
              <w:rPr>
                <w:rFonts w:ascii="STSongti-SC-Bold" w:eastAsia="STSongti-SC-Bold" w:hAnsi="Whitney-Book" w:cs="STSongti-SC-Bold" w:hint="eastAsia"/>
                <w:b/>
                <w:bCs/>
                <w:color w:val="000000"/>
              </w:rPr>
              <w:t>⾦：</w:t>
            </w:r>
            <w:proofErr w:type="spellStart"/>
            <w:r>
              <w:rPr>
                <w:rFonts w:ascii="STSongti-SC-Regular" w:eastAsia="STSongti-SC-Regular" w:hAnsi="Whitney-Book" w:cs="STSongti-SC-Regular" w:hint="eastAsia"/>
                <w:color w:val="000000"/>
              </w:rPr>
              <w:t>净募集资⾦未投放的余额应按照条约</w:t>
            </w:r>
            <w:proofErr w:type="spellEnd"/>
            <w:r>
              <w:rPr>
                <w:rFonts w:ascii="Whitney-Book" w:hAnsi="Whitney-Book" w:cs="Whitney-Book"/>
                <w:color w:val="000000"/>
              </w:rPr>
              <w:t xml:space="preserve">6.2 </w:t>
            </w:r>
            <w:proofErr w:type="spellStart"/>
            <w:r>
              <w:rPr>
                <w:rFonts w:ascii="STSongti-SC-Regular" w:eastAsia="STSongti-SC-Regular" w:hAnsi="Whitney-Book" w:cs="STSongti-SC-Regular" w:hint="eastAsia"/>
                <w:color w:val="000000"/>
              </w:rPr>
              <w:t>进⾏管理</w:t>
            </w:r>
            <w:proofErr w:type="spellEnd"/>
            <w:r>
              <w:rPr>
                <w:rFonts w:ascii="STSongti-SC-Regular" w:eastAsia="STSongti-SC-Regular" w:hAnsi="Whitney-Book" w:cs="STSongti-SC-Regular" w:hint="eastAsia"/>
                <w:color w:val="000000"/>
              </w:rPr>
              <w:t>。</w:t>
            </w:r>
          </w:p>
          <w:p w14:paraId="3D50C6E6" w14:textId="1DDE86CF" w:rsidR="001F4238" w:rsidRPr="00E553EB" w:rsidRDefault="001F4238" w:rsidP="00E553EB">
            <w:pPr>
              <w:rPr>
                <w:rFonts w:ascii="Calibri" w:hAnsi="Calibri"/>
              </w:rPr>
            </w:pPr>
          </w:p>
        </w:tc>
        <w:tc>
          <w:tcPr>
            <w:tcW w:w="3685" w:type="dxa"/>
          </w:tcPr>
          <w:p w14:paraId="5EEB3C65" w14:textId="77777777" w:rsidR="001F4238" w:rsidRPr="00E553EB" w:rsidRDefault="001F4238" w:rsidP="000B5FAA">
            <w:pPr>
              <w:rPr>
                <w:rFonts w:ascii="Calibri" w:hAnsi="Calibri"/>
              </w:rPr>
            </w:pPr>
          </w:p>
        </w:tc>
        <w:tc>
          <w:tcPr>
            <w:tcW w:w="1560" w:type="dxa"/>
          </w:tcPr>
          <w:p w14:paraId="0178DC8A" w14:textId="77777777" w:rsidR="001F4238" w:rsidRPr="00E553EB" w:rsidRDefault="001F4238" w:rsidP="000B5FAA">
            <w:pPr>
              <w:rPr>
                <w:rFonts w:ascii="Calibri" w:hAnsi="Calibri"/>
              </w:rPr>
            </w:pPr>
          </w:p>
        </w:tc>
      </w:tr>
      <w:tr w:rsidR="00CA2FD4" w:rsidRPr="00E553EB" w14:paraId="64832FBF" w14:textId="77777777" w:rsidTr="008B66C7">
        <w:tc>
          <w:tcPr>
            <w:tcW w:w="5104" w:type="dxa"/>
          </w:tcPr>
          <w:p w14:paraId="1D290B35" w14:textId="1DFEC019" w:rsidR="008B66C7" w:rsidRDefault="008B66C7" w:rsidP="008B66C7">
            <w:pPr>
              <w:autoSpaceDE w:val="0"/>
              <w:autoSpaceDN w:val="0"/>
              <w:adjustRightInd w:val="0"/>
              <w:rPr>
                <w:rFonts w:ascii="STSongti-SC-Regular" w:eastAsia="STSongti-SC-Regular" w:hAnsi="Whitney-Book" w:cs="STSongti-SC-Regular"/>
                <w:color w:val="000000"/>
              </w:rPr>
            </w:pPr>
            <w:r>
              <w:rPr>
                <w:rFonts w:ascii="Whitney-Book" w:hAnsi="Whitney-Book" w:cs="Whitney-Book"/>
                <w:color w:val="000000"/>
              </w:rPr>
              <w:t xml:space="preserve">2.3. </w:t>
            </w:r>
            <w:proofErr w:type="spellStart"/>
            <w:r>
              <w:rPr>
                <w:rFonts w:ascii="STSongti-SC-Bold" w:eastAsia="STSongti-SC-Bold" w:hAnsi="Whitney-Book" w:cs="STSongti-SC-Bold" w:hint="eastAsia"/>
                <w:b/>
                <w:bCs/>
                <w:color w:val="000000"/>
              </w:rPr>
              <w:t>为指定项⽬资产的资⾦设⽴专项台账：</w:t>
            </w:r>
            <w:r>
              <w:rPr>
                <w:rFonts w:ascii="STSongti-SC-Regular" w:eastAsia="STSongti-SC-Regular" w:hAnsi="Whitney-Book" w:cs="STSongti-SC-Regular" w:hint="eastAsia"/>
                <w:color w:val="000000"/>
              </w:rPr>
              <w:t>专项台账可⽤于管理和说明资⾦投放⾄指定项⽬资产的过程，也可以评估净募集资</w:t>
            </w:r>
            <w:proofErr w:type="spellEnd"/>
            <w:r>
              <w:rPr>
                <w:rFonts w:ascii="STSongti-SC-Regular" w:eastAsia="STSongti-SC-Regular" w:hAnsi="Whitney-Book" w:cs="STSongti-SC-Regular" w:hint="eastAsia"/>
                <w:color w:val="000000"/>
              </w:rPr>
              <w:t>⾦⽤</w:t>
            </w:r>
            <w:proofErr w:type="spellStart"/>
            <w:r>
              <w:rPr>
                <w:rFonts w:ascii="STSongti-SC-Regular" w:eastAsia="STSongti-SC-Regular" w:hAnsi="Whitney-Book" w:cs="STSongti-SC-Regular" w:hint="eastAsia"/>
                <w:color w:val="000000"/>
              </w:rPr>
              <w:t>于融资和再融资的⽐例</w:t>
            </w:r>
            <w:proofErr w:type="spellEnd"/>
            <w:r>
              <w:rPr>
                <w:rFonts w:ascii="STSongti-SC-Regular" w:eastAsia="STSongti-SC-Regular" w:hAnsi="Whitney-Book" w:cs="STSongti-SC-Regular" w:hint="eastAsia"/>
                <w:color w:val="000000"/>
              </w:rPr>
              <w:t>。</w:t>
            </w:r>
          </w:p>
          <w:p w14:paraId="279E2BB9" w14:textId="51C12727" w:rsidR="00CA2FD4" w:rsidRPr="00E553EB" w:rsidRDefault="00CA2FD4" w:rsidP="00986D1D">
            <w:pPr>
              <w:rPr>
                <w:rFonts w:ascii="Calibri" w:hAnsi="Calibri"/>
              </w:rPr>
            </w:pPr>
          </w:p>
        </w:tc>
        <w:tc>
          <w:tcPr>
            <w:tcW w:w="3685" w:type="dxa"/>
          </w:tcPr>
          <w:p w14:paraId="7A001186" w14:textId="77777777" w:rsidR="00CA2FD4" w:rsidRPr="00E553EB" w:rsidRDefault="00CA2FD4" w:rsidP="000B5FAA">
            <w:pPr>
              <w:rPr>
                <w:rFonts w:ascii="Calibri" w:hAnsi="Calibri"/>
              </w:rPr>
            </w:pPr>
          </w:p>
        </w:tc>
        <w:tc>
          <w:tcPr>
            <w:tcW w:w="1560" w:type="dxa"/>
          </w:tcPr>
          <w:p w14:paraId="6FAD4028" w14:textId="77777777" w:rsidR="00CA2FD4" w:rsidRPr="00E553EB" w:rsidRDefault="00CA2FD4" w:rsidP="000B5FAA">
            <w:pPr>
              <w:rPr>
                <w:rFonts w:ascii="Calibri" w:hAnsi="Calibri"/>
              </w:rPr>
            </w:pPr>
          </w:p>
        </w:tc>
      </w:tr>
    </w:tbl>
    <w:p w14:paraId="48C64F92" w14:textId="5C71E357" w:rsidR="002E25F7" w:rsidRDefault="002E25F7"/>
    <w:p w14:paraId="182B6443" w14:textId="53B22825" w:rsidR="000C1FB7" w:rsidRDefault="000C1FB7"/>
    <w:p w14:paraId="74BAEA0E" w14:textId="77777777" w:rsidR="000C1FB7" w:rsidRDefault="000C1FB7">
      <w:bookmarkStart w:id="1" w:name="_GoBack"/>
      <w:bookmarkEnd w:id="1"/>
    </w:p>
    <w:p w14:paraId="5CDD6C49" w14:textId="77777777" w:rsidR="004C20DE" w:rsidRDefault="004C20DE"/>
    <w:tbl>
      <w:tblPr>
        <w:tblStyle w:val="TableGrid"/>
        <w:tblW w:w="10349" w:type="dxa"/>
        <w:tblInd w:w="-743" w:type="dxa"/>
        <w:tblLook w:val="04A0" w:firstRow="1" w:lastRow="0" w:firstColumn="1" w:lastColumn="0" w:noHBand="0" w:noVBand="1"/>
      </w:tblPr>
      <w:tblGrid>
        <w:gridCol w:w="5104"/>
        <w:gridCol w:w="3404"/>
        <w:gridCol w:w="1841"/>
      </w:tblGrid>
      <w:tr w:rsidR="00356AAB" w14:paraId="36AFCA13" w14:textId="77777777" w:rsidTr="008B66C7">
        <w:trPr>
          <w:trHeight w:val="515"/>
        </w:trPr>
        <w:tc>
          <w:tcPr>
            <w:tcW w:w="10349" w:type="dxa"/>
            <w:gridSpan w:val="3"/>
            <w:shd w:val="clear" w:color="auto" w:fill="99CCFF"/>
          </w:tcPr>
          <w:p w14:paraId="66250EA5" w14:textId="055C4780" w:rsidR="00356AAB" w:rsidRDefault="00D61CFF" w:rsidP="000B5FAA">
            <w:pPr>
              <w:pStyle w:val="TableParagraph"/>
              <w:ind w:right="504"/>
              <w:jc w:val="center"/>
              <w:rPr>
                <w:rFonts w:ascii="Calibri" w:hAnsi="Calibri"/>
                <w:b/>
                <w:color w:val="FFFFFF" w:themeColor="background1"/>
                <w:sz w:val="28"/>
                <w:szCs w:val="28"/>
              </w:rPr>
            </w:pPr>
            <w:r w:rsidRPr="00D61CFF">
              <w:rPr>
                <w:rFonts w:ascii="Calibri" w:hAnsi="Calibri"/>
                <w:b/>
                <w:color w:val="FFFFFF" w:themeColor="background1"/>
                <w:sz w:val="28"/>
                <w:szCs w:val="28"/>
              </w:rPr>
              <w:lastRenderedPageBreak/>
              <w:t xml:space="preserve">3. </w:t>
            </w:r>
            <w:proofErr w:type="spellStart"/>
            <w:r w:rsidRPr="00D61CFF">
              <w:rPr>
                <w:rFonts w:ascii="Microsoft JhengHei" w:eastAsia="Microsoft JhengHei" w:hAnsi="Microsoft JhengHei" w:cs="Microsoft JhengHei" w:hint="eastAsia"/>
                <w:b/>
                <w:color w:val="FFFFFF" w:themeColor="background1"/>
                <w:sz w:val="28"/>
                <w:szCs w:val="28"/>
              </w:rPr>
              <w:t>发⾏前报</w:t>
            </w:r>
            <w:r w:rsidRPr="00D61CFF">
              <w:rPr>
                <w:rFonts w:ascii="MS Gothic" w:eastAsia="MS Gothic" w:hAnsi="MS Gothic" w:cs="MS Gothic" w:hint="eastAsia"/>
                <w:b/>
                <w:color w:val="FFFFFF" w:themeColor="background1"/>
                <w:sz w:val="28"/>
                <w:szCs w:val="28"/>
              </w:rPr>
              <w:t>告</w:t>
            </w:r>
            <w:proofErr w:type="spellEnd"/>
          </w:p>
        </w:tc>
      </w:tr>
      <w:tr w:rsidR="00356AAB" w14:paraId="78D7FB03" w14:textId="77777777" w:rsidTr="008B66C7">
        <w:trPr>
          <w:trHeight w:val="581"/>
        </w:trPr>
        <w:tc>
          <w:tcPr>
            <w:tcW w:w="5104" w:type="dxa"/>
            <w:shd w:val="clear" w:color="auto" w:fill="99CCFF"/>
          </w:tcPr>
          <w:p w14:paraId="10E81798" w14:textId="77777777" w:rsidR="00356AAB" w:rsidRPr="00E56099" w:rsidRDefault="00356AAB" w:rsidP="000B5FAA">
            <w:pPr>
              <w:pStyle w:val="TableParagraph"/>
              <w:tabs>
                <w:tab w:val="left" w:pos="329"/>
              </w:tabs>
              <w:spacing w:line="223" w:lineRule="exact"/>
              <w:jc w:val="center"/>
              <w:rPr>
                <w:rFonts w:ascii="Calibri" w:hAnsi="Calibri"/>
                <w:b/>
                <w:sz w:val="24"/>
                <w:szCs w:val="24"/>
              </w:rPr>
            </w:pPr>
            <w:r w:rsidRPr="00E56099">
              <w:rPr>
                <w:rFonts w:ascii="Calibri" w:hAnsi="Calibri"/>
                <w:b/>
                <w:sz w:val="24"/>
                <w:szCs w:val="24"/>
              </w:rPr>
              <w:t>Climate Bonds Standard Requirement</w:t>
            </w:r>
          </w:p>
        </w:tc>
        <w:tc>
          <w:tcPr>
            <w:tcW w:w="3404" w:type="dxa"/>
            <w:shd w:val="clear" w:color="auto" w:fill="99CCFF"/>
          </w:tcPr>
          <w:p w14:paraId="32DDC9C8" w14:textId="77777777" w:rsidR="00356AAB" w:rsidRPr="00E56099" w:rsidRDefault="00356AAB" w:rsidP="000B5FAA">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Findings </w:t>
            </w:r>
          </w:p>
        </w:tc>
        <w:tc>
          <w:tcPr>
            <w:tcW w:w="1841" w:type="dxa"/>
            <w:shd w:val="clear" w:color="auto" w:fill="99CCFF"/>
          </w:tcPr>
          <w:p w14:paraId="5DF304E8" w14:textId="77777777" w:rsidR="008E4CB5" w:rsidRPr="008E4CB5" w:rsidRDefault="008E4CB5" w:rsidP="008E4CB5">
            <w:pPr>
              <w:pStyle w:val="TableParagraph"/>
              <w:tabs>
                <w:tab w:val="left" w:pos="329"/>
              </w:tabs>
              <w:spacing w:line="223" w:lineRule="exact"/>
              <w:jc w:val="center"/>
              <w:rPr>
                <w:rFonts w:ascii="Calibri" w:hAnsi="Calibri"/>
                <w:b/>
                <w:sz w:val="24"/>
                <w:szCs w:val="24"/>
              </w:rPr>
            </w:pPr>
            <w:r w:rsidRPr="008E4CB5">
              <w:rPr>
                <w:rFonts w:ascii="Calibri" w:hAnsi="Calibri"/>
                <w:b/>
                <w:sz w:val="24"/>
                <w:szCs w:val="24"/>
              </w:rPr>
              <w:t xml:space="preserve">Requirement </w:t>
            </w:r>
          </w:p>
          <w:p w14:paraId="0192D3E7" w14:textId="77777777" w:rsidR="00356AAB" w:rsidRPr="00E56099" w:rsidRDefault="00356AAB" w:rsidP="000B5FAA">
            <w:pPr>
              <w:pStyle w:val="TableParagraph"/>
              <w:tabs>
                <w:tab w:val="left" w:pos="329"/>
              </w:tabs>
              <w:spacing w:line="223" w:lineRule="exact"/>
              <w:jc w:val="center"/>
              <w:rPr>
                <w:rFonts w:ascii="Calibri" w:hAnsi="Calibri"/>
                <w:b/>
                <w:sz w:val="24"/>
                <w:szCs w:val="24"/>
              </w:rPr>
            </w:pPr>
            <w:r>
              <w:rPr>
                <w:rFonts w:ascii="Calibri" w:hAnsi="Calibri"/>
                <w:b/>
                <w:sz w:val="24"/>
                <w:szCs w:val="24"/>
              </w:rPr>
              <w:t xml:space="preserve">Met </w:t>
            </w:r>
          </w:p>
        </w:tc>
      </w:tr>
      <w:tr w:rsidR="00356AAB" w:rsidRPr="00E553EB" w14:paraId="645E9E81" w14:textId="77777777" w:rsidTr="008B66C7">
        <w:tc>
          <w:tcPr>
            <w:tcW w:w="5104" w:type="dxa"/>
          </w:tcPr>
          <w:p w14:paraId="7DA6DED3" w14:textId="7634A536" w:rsidR="00D61CFF" w:rsidRDefault="00D61CFF" w:rsidP="00D61CFF">
            <w:pPr>
              <w:autoSpaceDE w:val="0"/>
              <w:autoSpaceDN w:val="0"/>
              <w:adjustRightInd w:val="0"/>
              <w:rPr>
                <w:rFonts w:ascii="STSongti-SC-Regular" w:eastAsia="STSongti-SC-Regular" w:hAnsi="Whitney-Book" w:cs="STSongti-SC-Regular"/>
                <w:color w:val="000000"/>
              </w:rPr>
            </w:pPr>
            <w:r>
              <w:rPr>
                <w:rFonts w:ascii="STSongti-SC-Regular" w:eastAsia="STSongti-SC-Regular" w:hAnsi="Whitney-Book" w:cs="STSongti-SC-Regular" w:hint="eastAsia"/>
                <w:color w:val="000000"/>
              </w:rPr>
              <w:t>发⾏⼈</w:t>
            </w:r>
            <w:proofErr w:type="spellStart"/>
            <w:r>
              <w:rPr>
                <w:rFonts w:ascii="STSongti-SC-Regular" w:eastAsia="STSongti-SC-Regular" w:hAnsi="Whitney-Book" w:cs="STSongti-SC-Regular" w:hint="eastAsia"/>
                <w:color w:val="000000"/>
              </w:rPr>
              <w:t>将在债券披露⽂件中披露以下信息</w:t>
            </w:r>
            <w:proofErr w:type="spellEnd"/>
            <w:r>
              <w:rPr>
                <w:rFonts w:ascii="STSongti-SC-Regular" w:eastAsia="STSongti-SC-Regular" w:hAnsi="Whitney-Book" w:cs="STSongti-SC-Regular" w:hint="eastAsia"/>
                <w:color w:val="000000"/>
              </w:rPr>
              <w:t>：</w:t>
            </w:r>
          </w:p>
          <w:p w14:paraId="018DDFB1" w14:textId="02226C71" w:rsidR="00356AAB" w:rsidRPr="00E553EB" w:rsidRDefault="00356AAB" w:rsidP="00E553EB">
            <w:pPr>
              <w:rPr>
                <w:rFonts w:ascii="Calibri" w:hAnsi="Calibri"/>
              </w:rPr>
            </w:pPr>
          </w:p>
        </w:tc>
        <w:tc>
          <w:tcPr>
            <w:tcW w:w="3404" w:type="dxa"/>
          </w:tcPr>
          <w:p w14:paraId="3ACB3968" w14:textId="77777777" w:rsidR="00356AAB" w:rsidRPr="00E553EB" w:rsidRDefault="00356AAB" w:rsidP="000B5FAA">
            <w:pPr>
              <w:rPr>
                <w:rFonts w:ascii="Calibri" w:hAnsi="Calibri"/>
              </w:rPr>
            </w:pPr>
          </w:p>
        </w:tc>
        <w:tc>
          <w:tcPr>
            <w:tcW w:w="1841" w:type="dxa"/>
          </w:tcPr>
          <w:p w14:paraId="216615CA" w14:textId="77777777" w:rsidR="00356AAB" w:rsidRPr="00E553EB" w:rsidRDefault="00356AAB" w:rsidP="000B5FAA">
            <w:pPr>
              <w:rPr>
                <w:rFonts w:ascii="Calibri" w:hAnsi="Calibri"/>
              </w:rPr>
            </w:pPr>
          </w:p>
        </w:tc>
      </w:tr>
      <w:tr w:rsidR="003F5B46" w:rsidRPr="00E553EB" w14:paraId="5E830431" w14:textId="77777777" w:rsidTr="008B66C7">
        <w:tc>
          <w:tcPr>
            <w:tcW w:w="5104" w:type="dxa"/>
          </w:tcPr>
          <w:p w14:paraId="50078C54" w14:textId="77DD2247" w:rsidR="003F5B46" w:rsidRPr="003F5B46" w:rsidRDefault="00D61CFF" w:rsidP="008B66C7">
            <w:pPr>
              <w:autoSpaceDE w:val="0"/>
              <w:autoSpaceDN w:val="0"/>
              <w:adjustRightInd w:val="0"/>
              <w:rPr>
                <w:rFonts w:ascii="Calibri" w:hAnsi="Calibri"/>
              </w:rPr>
            </w:pPr>
            <w:r>
              <w:rPr>
                <w:rFonts w:ascii="Whitney-Book" w:hAnsi="Whitney-Book" w:cs="Whitney-Book"/>
                <w:color w:val="000000"/>
              </w:rPr>
              <w:t xml:space="preserve">3.1. </w:t>
            </w:r>
            <w:proofErr w:type="spellStart"/>
            <w:r>
              <w:rPr>
                <w:rFonts w:ascii="STSongti-SC-Regular" w:eastAsia="STSongti-SC-Regular" w:hAnsi="Whitney-Book" w:cs="STSongti-SC-Regular" w:hint="eastAsia"/>
                <w:color w:val="000000"/>
              </w:rPr>
              <w:t>指定项⽬和资产的投资领域，如条例</w:t>
            </w:r>
            <w:proofErr w:type="spellEnd"/>
            <w:r>
              <w:rPr>
                <w:rFonts w:ascii="Whitney-Book" w:hAnsi="Whitney-Book" w:cs="Whitney-Book"/>
                <w:color w:val="000000"/>
              </w:rPr>
              <w:t xml:space="preserve">9.1 </w:t>
            </w:r>
            <w:r>
              <w:rPr>
                <w:rFonts w:ascii="STSongti-SC-Regular" w:eastAsia="STSongti-SC-Regular" w:hAnsi="Whitney-Book" w:cs="STSongti-SC-Regular" w:hint="eastAsia"/>
                <w:color w:val="000000"/>
              </w:rPr>
              <w:t>所⽰。</w:t>
            </w:r>
          </w:p>
        </w:tc>
        <w:tc>
          <w:tcPr>
            <w:tcW w:w="3404" w:type="dxa"/>
          </w:tcPr>
          <w:p w14:paraId="4C9F630F" w14:textId="77777777" w:rsidR="003F5B46" w:rsidRPr="00E553EB" w:rsidRDefault="003F5B46" w:rsidP="000B5FAA">
            <w:pPr>
              <w:rPr>
                <w:rFonts w:ascii="Calibri" w:hAnsi="Calibri"/>
              </w:rPr>
            </w:pPr>
          </w:p>
        </w:tc>
        <w:tc>
          <w:tcPr>
            <w:tcW w:w="1841" w:type="dxa"/>
          </w:tcPr>
          <w:p w14:paraId="19A8098C" w14:textId="77777777" w:rsidR="003F5B46" w:rsidRPr="00E553EB" w:rsidRDefault="003F5B46" w:rsidP="000B5FAA">
            <w:pPr>
              <w:rPr>
                <w:rFonts w:ascii="Calibri" w:hAnsi="Calibri"/>
              </w:rPr>
            </w:pPr>
          </w:p>
        </w:tc>
      </w:tr>
      <w:tr w:rsidR="003F5B46" w:rsidRPr="00E553EB" w14:paraId="6424393F" w14:textId="77777777" w:rsidTr="008B66C7">
        <w:tc>
          <w:tcPr>
            <w:tcW w:w="5104" w:type="dxa"/>
          </w:tcPr>
          <w:p w14:paraId="34127996" w14:textId="682F1C64" w:rsidR="00D61CFF" w:rsidRDefault="00D61CFF" w:rsidP="00D61CFF">
            <w:pPr>
              <w:autoSpaceDE w:val="0"/>
              <w:autoSpaceDN w:val="0"/>
              <w:adjustRightInd w:val="0"/>
              <w:rPr>
                <w:rFonts w:ascii="STSongti-SC-Regular" w:eastAsia="STSongti-SC-Regular" w:hAnsi="Whitney-Book" w:cs="STSongti-SC-Regular"/>
                <w:color w:val="000000"/>
              </w:rPr>
            </w:pPr>
            <w:r>
              <w:rPr>
                <w:rFonts w:ascii="Whitney-Book" w:hAnsi="Whitney-Book" w:cs="Whitney-Book"/>
                <w:color w:val="000000"/>
              </w:rPr>
              <w:t xml:space="preserve">3.2. </w:t>
            </w:r>
            <w:proofErr w:type="spellStart"/>
            <w:r>
              <w:rPr>
                <w:rFonts w:ascii="STSongti-SC-Regular" w:eastAsia="STSongti-SC-Regular" w:hAnsi="Whitney-Book" w:cs="STSongti-SC-Regular" w:hint="eastAsia"/>
                <w:color w:val="000000"/>
              </w:rPr>
              <w:t>管理闲置资⾦的短期投资⼯具种类，需符合条例</w:t>
            </w:r>
            <w:proofErr w:type="spellEnd"/>
            <w:r>
              <w:rPr>
                <w:rFonts w:ascii="Whitney-Book" w:hAnsi="Whitney-Book" w:cs="Whitney-Book"/>
                <w:color w:val="000000"/>
              </w:rPr>
              <w:t>2.1.2</w:t>
            </w:r>
            <w:r>
              <w:rPr>
                <w:rFonts w:ascii="STSongti-SC-Regular" w:eastAsia="STSongti-SC-Regular" w:hAnsi="Whitney-Book" w:cs="STSongti-SC-Regular" w:hint="eastAsia"/>
                <w:color w:val="000000"/>
              </w:rPr>
              <w:t>。</w:t>
            </w:r>
          </w:p>
          <w:p w14:paraId="4E70ECB0" w14:textId="216ED5F2" w:rsidR="003F5B46" w:rsidRDefault="003F5B46" w:rsidP="00E07D8F">
            <w:pPr>
              <w:rPr>
                <w:rFonts w:ascii="Calibri" w:hAnsi="Calibri"/>
              </w:rPr>
            </w:pPr>
          </w:p>
        </w:tc>
        <w:tc>
          <w:tcPr>
            <w:tcW w:w="3404" w:type="dxa"/>
          </w:tcPr>
          <w:p w14:paraId="5D34FB2B" w14:textId="77777777" w:rsidR="003F5B46" w:rsidRPr="00E553EB" w:rsidRDefault="003F5B46" w:rsidP="000B5FAA">
            <w:pPr>
              <w:rPr>
                <w:rFonts w:ascii="Calibri" w:hAnsi="Calibri"/>
              </w:rPr>
            </w:pPr>
          </w:p>
        </w:tc>
        <w:tc>
          <w:tcPr>
            <w:tcW w:w="1841" w:type="dxa"/>
          </w:tcPr>
          <w:p w14:paraId="54949BA7" w14:textId="77777777" w:rsidR="003F5B46" w:rsidRPr="00E553EB" w:rsidRDefault="003F5B46" w:rsidP="000B5FAA">
            <w:pPr>
              <w:rPr>
                <w:rFonts w:ascii="Calibri" w:hAnsi="Calibri"/>
              </w:rPr>
            </w:pPr>
          </w:p>
        </w:tc>
      </w:tr>
      <w:tr w:rsidR="003F5B46" w:rsidRPr="00E553EB" w14:paraId="05FB88E3" w14:textId="77777777" w:rsidTr="008B66C7">
        <w:tc>
          <w:tcPr>
            <w:tcW w:w="5104" w:type="dxa"/>
          </w:tcPr>
          <w:p w14:paraId="4C31E115" w14:textId="49F76B69" w:rsidR="00D61CFF" w:rsidRDefault="00D61CFF" w:rsidP="00D61CFF">
            <w:pPr>
              <w:autoSpaceDE w:val="0"/>
              <w:autoSpaceDN w:val="0"/>
              <w:adjustRightInd w:val="0"/>
              <w:rPr>
                <w:rFonts w:ascii="STSongti-SC-Regular" w:eastAsia="STSongti-SC-Regular" w:hAnsi="Whitney-Book" w:cs="STSongti-SC-Regular"/>
                <w:color w:val="000000"/>
              </w:rPr>
            </w:pPr>
            <w:r>
              <w:rPr>
                <w:rFonts w:ascii="Whitney-Book" w:hAnsi="Whitney-Book" w:cs="Whitney-Book"/>
                <w:color w:val="000000"/>
              </w:rPr>
              <w:t xml:space="preserve">3.3. </w:t>
            </w:r>
            <w:r>
              <w:rPr>
                <w:rFonts w:ascii="STSongti-SC-Regular" w:eastAsia="STSongti-SC-Regular" w:hAnsi="Whitney-Book" w:cs="STSongti-SC-Regular" w:hint="eastAsia"/>
                <w:color w:val="000000"/>
              </w:rPr>
              <w:t>发⾏⼈</w:t>
            </w:r>
            <w:proofErr w:type="spellStart"/>
            <w:r>
              <w:rPr>
                <w:rFonts w:ascii="STSongti-SC-Regular" w:eastAsia="STSongti-SC-Regular" w:hAnsi="Whitney-Book" w:cs="STSongti-SC-Regular" w:hint="eastAsia"/>
                <w:color w:val="000000"/>
              </w:rPr>
              <w:t>聘⽤的进⾏发⾏前和发⾏后认证业务的核查机构</w:t>
            </w:r>
            <w:proofErr w:type="spellEnd"/>
            <w:r>
              <w:rPr>
                <w:rFonts w:ascii="STSongti-SC-Regular" w:eastAsia="STSongti-SC-Regular" w:hAnsi="Whitney-Book" w:cs="STSongti-SC-Regular" w:hint="eastAsia"/>
                <w:color w:val="000000"/>
              </w:rPr>
              <w:t>。</w:t>
            </w:r>
          </w:p>
          <w:p w14:paraId="65763DBF" w14:textId="1BB364E2" w:rsidR="003F5B46" w:rsidRPr="003F5B46" w:rsidRDefault="003F5B46" w:rsidP="003F5B46">
            <w:pPr>
              <w:rPr>
                <w:rFonts w:ascii="Calibri" w:hAnsi="Calibri"/>
              </w:rPr>
            </w:pPr>
          </w:p>
        </w:tc>
        <w:tc>
          <w:tcPr>
            <w:tcW w:w="3404" w:type="dxa"/>
          </w:tcPr>
          <w:p w14:paraId="042BA347" w14:textId="77777777" w:rsidR="003F5B46" w:rsidRPr="00E553EB" w:rsidRDefault="003F5B46" w:rsidP="000B5FAA">
            <w:pPr>
              <w:rPr>
                <w:rFonts w:ascii="Calibri" w:hAnsi="Calibri"/>
              </w:rPr>
            </w:pPr>
          </w:p>
        </w:tc>
        <w:tc>
          <w:tcPr>
            <w:tcW w:w="1841" w:type="dxa"/>
          </w:tcPr>
          <w:p w14:paraId="19239AEF" w14:textId="77777777" w:rsidR="003F5B46" w:rsidRPr="00E553EB" w:rsidRDefault="003F5B46" w:rsidP="000B5FAA">
            <w:pPr>
              <w:rPr>
                <w:rFonts w:ascii="Calibri" w:hAnsi="Calibri"/>
              </w:rPr>
            </w:pPr>
          </w:p>
        </w:tc>
      </w:tr>
      <w:tr w:rsidR="007F1D38" w:rsidRPr="00E553EB" w14:paraId="445C4A2C" w14:textId="77777777" w:rsidTr="008B66C7">
        <w:tc>
          <w:tcPr>
            <w:tcW w:w="5104" w:type="dxa"/>
          </w:tcPr>
          <w:p w14:paraId="0441AA6F" w14:textId="6D616E72" w:rsidR="00D61CFF" w:rsidRDefault="00D61CFF" w:rsidP="00D61CFF">
            <w:pPr>
              <w:autoSpaceDE w:val="0"/>
              <w:autoSpaceDN w:val="0"/>
              <w:adjustRightInd w:val="0"/>
              <w:rPr>
                <w:rFonts w:ascii="STSongti-SC-Regular" w:eastAsia="STSongti-SC-Regular" w:hAnsi="Whitney-Book" w:cs="STSongti-SC-Regular"/>
                <w:color w:val="000000"/>
              </w:rPr>
            </w:pPr>
            <w:r>
              <w:rPr>
                <w:rFonts w:ascii="Whitney-Book" w:hAnsi="Whitney-Book" w:cs="Whitney-Book"/>
                <w:color w:val="000000"/>
              </w:rPr>
              <w:t xml:space="preserve">3.4. </w:t>
            </w:r>
            <w:proofErr w:type="spellStart"/>
            <w:r>
              <w:rPr>
                <w:rFonts w:ascii="STSongti-SC-Regular" w:eastAsia="STSongti-SC-Regular" w:hAnsi="Whitney-Book" w:cs="STSongti-SC-Regular" w:hint="eastAsia"/>
                <w:color w:val="000000"/>
              </w:rPr>
              <w:t>是否对债券存续期间募集资⾦符合⽓候债券标准的情况进⾏周期性鉴证，以及预计的周</w:t>
            </w:r>
            <w:proofErr w:type="spellEnd"/>
          </w:p>
          <w:p w14:paraId="66342729" w14:textId="77777777" w:rsidR="00D61CFF" w:rsidRDefault="00D61CFF" w:rsidP="00D61CFF">
            <w:proofErr w:type="spellStart"/>
            <w:r>
              <w:rPr>
                <w:rFonts w:ascii="STSongti-SC-Regular" w:eastAsia="STSongti-SC-Regular" w:hAnsi="Whitney-Book" w:cs="STSongti-SC-Regular" w:hint="eastAsia"/>
                <w:color w:val="000000"/>
              </w:rPr>
              <w:t>期性鉴证的频率</w:t>
            </w:r>
            <w:proofErr w:type="spellEnd"/>
            <w:r>
              <w:rPr>
                <w:rFonts w:ascii="STSongti-SC-Regular" w:eastAsia="STSongti-SC-Regular" w:hAnsi="Whitney-Book" w:cs="STSongti-SC-Regular" w:hint="eastAsia"/>
                <w:color w:val="000000"/>
              </w:rPr>
              <w:t>。</w:t>
            </w:r>
          </w:p>
          <w:p w14:paraId="6FAC28E4" w14:textId="32C680A3" w:rsidR="007F1D38" w:rsidRPr="00E553EB" w:rsidRDefault="007F1D38" w:rsidP="00986D1D">
            <w:pPr>
              <w:rPr>
                <w:rFonts w:ascii="Calibri" w:hAnsi="Calibri"/>
              </w:rPr>
            </w:pPr>
          </w:p>
        </w:tc>
        <w:tc>
          <w:tcPr>
            <w:tcW w:w="3404" w:type="dxa"/>
          </w:tcPr>
          <w:p w14:paraId="3AA99D01" w14:textId="77777777" w:rsidR="007F1D38" w:rsidRPr="00E553EB" w:rsidRDefault="007F1D38" w:rsidP="000B5FAA">
            <w:pPr>
              <w:rPr>
                <w:rFonts w:ascii="Calibri" w:hAnsi="Calibri"/>
              </w:rPr>
            </w:pPr>
          </w:p>
        </w:tc>
        <w:tc>
          <w:tcPr>
            <w:tcW w:w="1841" w:type="dxa"/>
          </w:tcPr>
          <w:p w14:paraId="17F8F1AD" w14:textId="77777777" w:rsidR="007F1D38" w:rsidRPr="00E553EB" w:rsidRDefault="007F1D38" w:rsidP="000B5FAA">
            <w:pPr>
              <w:rPr>
                <w:rFonts w:ascii="Calibri" w:hAnsi="Calibri"/>
              </w:rPr>
            </w:pPr>
          </w:p>
        </w:tc>
      </w:tr>
    </w:tbl>
    <w:p w14:paraId="32D02C1F" w14:textId="773961C6" w:rsidR="00356AAB" w:rsidRDefault="00356AAB"/>
    <w:p w14:paraId="6F68D1D4" w14:textId="77777777" w:rsidR="00356AAB" w:rsidRDefault="00356AAB"/>
    <w:sectPr w:rsidR="00356AAB" w:rsidSect="00FD7D22">
      <w:footerReference w:type="even" r:id="rId8"/>
      <w:footerReference w:type="default" r:id="rId9"/>
      <w:pgSz w:w="11900" w:h="16840"/>
      <w:pgMar w:top="1440" w:right="1127"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0FB8" w14:textId="77777777" w:rsidR="00B9736A" w:rsidRDefault="00B9736A" w:rsidP="00DA3316">
      <w:r>
        <w:separator/>
      </w:r>
    </w:p>
  </w:endnote>
  <w:endnote w:type="continuationSeparator" w:id="0">
    <w:p w14:paraId="5CA94B96" w14:textId="77777777" w:rsidR="00B9736A" w:rsidRDefault="00B9736A" w:rsidP="00DA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TSongti-SC-Bold">
    <w:altName w:val="Microsoft JhengHei"/>
    <w:panose1 w:val="00000000000000000000"/>
    <w:charset w:val="88"/>
    <w:family w:val="auto"/>
    <w:notTrueType/>
    <w:pitch w:val="default"/>
    <w:sig w:usb0="00000001" w:usb1="08080000" w:usb2="00000010" w:usb3="00000000" w:csb0="00100000" w:csb1="00000000"/>
  </w:font>
  <w:font w:name="Whitney-Book">
    <w:altName w:val="Calibri"/>
    <w:panose1 w:val="00000000000000000000"/>
    <w:charset w:val="00"/>
    <w:family w:val="swiss"/>
    <w:notTrueType/>
    <w:pitch w:val="default"/>
    <w:sig w:usb0="00000003" w:usb1="00000000" w:usb2="00000000" w:usb3="00000000" w:csb0="00000001" w:csb1="00000000"/>
  </w:font>
  <w:font w:name="STSongti-SC-Regular">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hitney-BookItalic">
    <w:altName w:val="Calibri"/>
    <w:panose1 w:val="00000000000000000000"/>
    <w:charset w:val="00"/>
    <w:family w:val="swiss"/>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EC9B" w14:textId="77777777" w:rsidR="001D7E9E" w:rsidRDefault="001D7E9E" w:rsidP="00A43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C8EF86" w14:textId="77777777" w:rsidR="001D7E9E" w:rsidRDefault="001D7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E392" w14:textId="77777777" w:rsidR="001D7E9E" w:rsidRDefault="001D7E9E" w:rsidP="00A43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36C">
      <w:rPr>
        <w:rStyle w:val="PageNumber"/>
        <w:noProof/>
      </w:rPr>
      <w:t>1</w:t>
    </w:r>
    <w:r>
      <w:rPr>
        <w:rStyle w:val="PageNumber"/>
      </w:rPr>
      <w:fldChar w:fldCharType="end"/>
    </w:r>
  </w:p>
  <w:p w14:paraId="52D5462C" w14:textId="77777777" w:rsidR="001D7E9E" w:rsidRDefault="001D7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31F06" w14:textId="77777777" w:rsidR="00B9736A" w:rsidRDefault="00B9736A" w:rsidP="00DA3316">
      <w:r>
        <w:separator/>
      </w:r>
    </w:p>
  </w:footnote>
  <w:footnote w:type="continuationSeparator" w:id="0">
    <w:p w14:paraId="3EBD338A" w14:textId="77777777" w:rsidR="00B9736A" w:rsidRDefault="00B9736A" w:rsidP="00DA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8E7"/>
    <w:multiLevelType w:val="multilevel"/>
    <w:tmpl w:val="AF8AC8A4"/>
    <w:lvl w:ilvl="0">
      <w:start w:val="6"/>
      <w:numFmt w:val="decimal"/>
      <w:lvlText w:val="%1"/>
      <w:lvlJc w:val="left"/>
      <w:pPr>
        <w:ind w:left="107" w:hanging="555"/>
      </w:pPr>
      <w:rPr>
        <w:rFonts w:hint="default"/>
        <w:lang w:val="en-US" w:eastAsia="en-US" w:bidi="en-US"/>
      </w:rPr>
    </w:lvl>
    <w:lvl w:ilvl="1">
      <w:start w:val="2"/>
      <w:numFmt w:val="decimal"/>
      <w:lvlText w:val="%1.%2"/>
      <w:lvlJc w:val="left"/>
      <w:pPr>
        <w:ind w:left="107" w:hanging="555"/>
      </w:pPr>
      <w:rPr>
        <w:rFonts w:hint="default"/>
        <w:lang w:val="en-US" w:eastAsia="en-US" w:bidi="en-US"/>
      </w:rPr>
    </w:lvl>
    <w:lvl w:ilvl="2">
      <w:start w:val="1"/>
      <w:numFmt w:val="decimal"/>
      <w:lvlText w:val="%1.%2.%3."/>
      <w:lvlJc w:val="left"/>
      <w:pPr>
        <w:ind w:left="107" w:hanging="555"/>
      </w:pPr>
      <w:rPr>
        <w:rFonts w:ascii="Arial" w:eastAsia="Arial" w:hAnsi="Arial" w:cs="Arial" w:hint="default"/>
        <w:b/>
        <w:bCs/>
        <w:spacing w:val="-1"/>
        <w:w w:val="99"/>
        <w:sz w:val="20"/>
        <w:szCs w:val="20"/>
        <w:lang w:val="en-US" w:eastAsia="en-US" w:bidi="en-US"/>
      </w:rPr>
    </w:lvl>
    <w:lvl w:ilvl="3">
      <w:numFmt w:val="bullet"/>
      <w:lvlText w:val="•"/>
      <w:lvlJc w:val="left"/>
      <w:pPr>
        <w:ind w:left="769" w:hanging="555"/>
      </w:pPr>
      <w:rPr>
        <w:rFonts w:hint="default"/>
        <w:lang w:val="en-US" w:eastAsia="en-US" w:bidi="en-US"/>
      </w:rPr>
    </w:lvl>
    <w:lvl w:ilvl="4">
      <w:numFmt w:val="bullet"/>
      <w:lvlText w:val="•"/>
      <w:lvlJc w:val="left"/>
      <w:pPr>
        <w:ind w:left="992" w:hanging="555"/>
      </w:pPr>
      <w:rPr>
        <w:rFonts w:hint="default"/>
        <w:lang w:val="en-US" w:eastAsia="en-US" w:bidi="en-US"/>
      </w:rPr>
    </w:lvl>
    <w:lvl w:ilvl="5">
      <w:numFmt w:val="bullet"/>
      <w:lvlText w:val="•"/>
      <w:lvlJc w:val="left"/>
      <w:pPr>
        <w:ind w:left="1216" w:hanging="555"/>
      </w:pPr>
      <w:rPr>
        <w:rFonts w:hint="default"/>
        <w:lang w:val="en-US" w:eastAsia="en-US" w:bidi="en-US"/>
      </w:rPr>
    </w:lvl>
    <w:lvl w:ilvl="6">
      <w:numFmt w:val="bullet"/>
      <w:lvlText w:val="•"/>
      <w:lvlJc w:val="left"/>
      <w:pPr>
        <w:ind w:left="1439" w:hanging="555"/>
      </w:pPr>
      <w:rPr>
        <w:rFonts w:hint="default"/>
        <w:lang w:val="en-US" w:eastAsia="en-US" w:bidi="en-US"/>
      </w:rPr>
    </w:lvl>
    <w:lvl w:ilvl="7">
      <w:numFmt w:val="bullet"/>
      <w:lvlText w:val="•"/>
      <w:lvlJc w:val="left"/>
      <w:pPr>
        <w:ind w:left="1662" w:hanging="555"/>
      </w:pPr>
      <w:rPr>
        <w:rFonts w:hint="default"/>
        <w:lang w:val="en-US" w:eastAsia="en-US" w:bidi="en-US"/>
      </w:rPr>
    </w:lvl>
    <w:lvl w:ilvl="8">
      <w:numFmt w:val="bullet"/>
      <w:lvlText w:val="•"/>
      <w:lvlJc w:val="left"/>
      <w:pPr>
        <w:ind w:left="1885" w:hanging="555"/>
      </w:pPr>
      <w:rPr>
        <w:rFonts w:hint="default"/>
        <w:lang w:val="en-US" w:eastAsia="en-US" w:bidi="en-US"/>
      </w:rPr>
    </w:lvl>
  </w:abstractNum>
  <w:abstractNum w:abstractNumId="1" w15:restartNumberingAfterBreak="0">
    <w:nsid w:val="0C85022C"/>
    <w:multiLevelType w:val="multilevel"/>
    <w:tmpl w:val="DF729B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7D7787"/>
    <w:multiLevelType w:val="multilevel"/>
    <w:tmpl w:val="A4027762"/>
    <w:lvl w:ilvl="0">
      <w:start w:val="12"/>
      <w:numFmt w:val="decimal"/>
      <w:lvlText w:val="%1"/>
      <w:lvlJc w:val="left"/>
      <w:pPr>
        <w:ind w:left="107" w:hanging="440"/>
      </w:pPr>
      <w:rPr>
        <w:rFonts w:hint="default"/>
        <w:lang w:val="en-US" w:eastAsia="en-US" w:bidi="en-US"/>
      </w:rPr>
    </w:lvl>
    <w:lvl w:ilvl="1">
      <w:start w:val="2"/>
      <w:numFmt w:val="decimal"/>
      <w:lvlText w:val="%1.%2"/>
      <w:lvlJc w:val="left"/>
      <w:pPr>
        <w:ind w:left="107" w:hanging="440"/>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07" w:hanging="610"/>
      </w:pPr>
      <w:rPr>
        <w:rFonts w:ascii="Arial" w:eastAsia="Arial" w:hAnsi="Arial" w:cs="Arial" w:hint="default"/>
        <w:b/>
        <w:bCs/>
        <w:spacing w:val="-1"/>
        <w:w w:val="99"/>
        <w:sz w:val="20"/>
        <w:szCs w:val="20"/>
        <w:lang w:val="en-US" w:eastAsia="en-US" w:bidi="en-US"/>
      </w:rPr>
    </w:lvl>
    <w:lvl w:ilvl="3">
      <w:numFmt w:val="bullet"/>
      <w:lvlText w:val="•"/>
      <w:lvlJc w:val="left"/>
      <w:pPr>
        <w:ind w:left="769" w:hanging="610"/>
      </w:pPr>
      <w:rPr>
        <w:rFonts w:hint="default"/>
        <w:lang w:val="en-US" w:eastAsia="en-US" w:bidi="en-US"/>
      </w:rPr>
    </w:lvl>
    <w:lvl w:ilvl="4">
      <w:numFmt w:val="bullet"/>
      <w:lvlText w:val="•"/>
      <w:lvlJc w:val="left"/>
      <w:pPr>
        <w:ind w:left="992" w:hanging="610"/>
      </w:pPr>
      <w:rPr>
        <w:rFonts w:hint="default"/>
        <w:lang w:val="en-US" w:eastAsia="en-US" w:bidi="en-US"/>
      </w:rPr>
    </w:lvl>
    <w:lvl w:ilvl="5">
      <w:numFmt w:val="bullet"/>
      <w:lvlText w:val="•"/>
      <w:lvlJc w:val="left"/>
      <w:pPr>
        <w:ind w:left="1216" w:hanging="610"/>
      </w:pPr>
      <w:rPr>
        <w:rFonts w:hint="default"/>
        <w:lang w:val="en-US" w:eastAsia="en-US" w:bidi="en-US"/>
      </w:rPr>
    </w:lvl>
    <w:lvl w:ilvl="6">
      <w:numFmt w:val="bullet"/>
      <w:lvlText w:val="•"/>
      <w:lvlJc w:val="left"/>
      <w:pPr>
        <w:ind w:left="1439" w:hanging="610"/>
      </w:pPr>
      <w:rPr>
        <w:rFonts w:hint="default"/>
        <w:lang w:val="en-US" w:eastAsia="en-US" w:bidi="en-US"/>
      </w:rPr>
    </w:lvl>
    <w:lvl w:ilvl="7">
      <w:numFmt w:val="bullet"/>
      <w:lvlText w:val="•"/>
      <w:lvlJc w:val="left"/>
      <w:pPr>
        <w:ind w:left="1662" w:hanging="610"/>
      </w:pPr>
      <w:rPr>
        <w:rFonts w:hint="default"/>
        <w:lang w:val="en-US" w:eastAsia="en-US" w:bidi="en-US"/>
      </w:rPr>
    </w:lvl>
    <w:lvl w:ilvl="8">
      <w:numFmt w:val="bullet"/>
      <w:lvlText w:val="•"/>
      <w:lvlJc w:val="left"/>
      <w:pPr>
        <w:ind w:left="1885" w:hanging="610"/>
      </w:pPr>
      <w:rPr>
        <w:rFonts w:hint="default"/>
        <w:lang w:val="en-US" w:eastAsia="en-US" w:bidi="en-US"/>
      </w:rPr>
    </w:lvl>
  </w:abstractNum>
  <w:abstractNum w:abstractNumId="3" w15:restartNumberingAfterBreak="0">
    <w:nsid w:val="499804FA"/>
    <w:multiLevelType w:val="multilevel"/>
    <w:tmpl w:val="EEACF13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FF4F61"/>
    <w:multiLevelType w:val="multilevel"/>
    <w:tmpl w:val="DF1A93EC"/>
    <w:lvl w:ilvl="0">
      <w:start w:val="7"/>
      <w:numFmt w:val="decimal"/>
      <w:lvlText w:val="%1."/>
      <w:lvlJc w:val="left"/>
      <w:pPr>
        <w:ind w:left="328" w:hanging="221"/>
      </w:pPr>
      <w:rPr>
        <w:rFonts w:ascii="Arial" w:eastAsia="Arial" w:hAnsi="Arial" w:cs="Arial" w:hint="default"/>
        <w:b/>
        <w:bCs/>
        <w:spacing w:val="-1"/>
        <w:w w:val="99"/>
        <w:sz w:val="20"/>
        <w:szCs w:val="20"/>
        <w:lang w:val="en-US" w:eastAsia="en-US" w:bidi="en-US"/>
      </w:rPr>
    </w:lvl>
    <w:lvl w:ilvl="1">
      <w:start w:val="1"/>
      <w:numFmt w:val="decimal"/>
      <w:lvlText w:val="%1.%2."/>
      <w:lvlJc w:val="left"/>
      <w:pPr>
        <w:ind w:left="813" w:hanging="387"/>
      </w:pPr>
      <w:rPr>
        <w:rFonts w:ascii="Arial" w:eastAsia="Arial" w:hAnsi="Arial" w:cs="Arial" w:hint="default"/>
        <w:b/>
        <w:bCs/>
        <w:spacing w:val="-1"/>
        <w:w w:val="99"/>
        <w:sz w:val="20"/>
        <w:szCs w:val="20"/>
        <w:lang w:val="en-US" w:eastAsia="en-US" w:bidi="en-US"/>
      </w:rPr>
    </w:lvl>
    <w:lvl w:ilvl="2">
      <w:numFmt w:val="bullet"/>
      <w:lvlText w:val="•"/>
      <w:lvlJc w:val="left"/>
      <w:pPr>
        <w:ind w:left="543" w:hanging="387"/>
      </w:pPr>
      <w:rPr>
        <w:rFonts w:hint="default"/>
        <w:lang w:val="en-US" w:eastAsia="en-US" w:bidi="en-US"/>
      </w:rPr>
    </w:lvl>
    <w:lvl w:ilvl="3">
      <w:numFmt w:val="bullet"/>
      <w:lvlText w:val="•"/>
      <w:lvlJc w:val="left"/>
      <w:pPr>
        <w:ind w:left="767" w:hanging="387"/>
      </w:pPr>
      <w:rPr>
        <w:rFonts w:hint="default"/>
        <w:lang w:val="en-US" w:eastAsia="en-US" w:bidi="en-US"/>
      </w:rPr>
    </w:lvl>
    <w:lvl w:ilvl="4">
      <w:numFmt w:val="bullet"/>
      <w:lvlText w:val="•"/>
      <w:lvlJc w:val="left"/>
      <w:pPr>
        <w:ind w:left="990" w:hanging="387"/>
      </w:pPr>
      <w:rPr>
        <w:rFonts w:hint="default"/>
        <w:lang w:val="en-US" w:eastAsia="en-US" w:bidi="en-US"/>
      </w:rPr>
    </w:lvl>
    <w:lvl w:ilvl="5">
      <w:numFmt w:val="bullet"/>
      <w:lvlText w:val="•"/>
      <w:lvlJc w:val="left"/>
      <w:pPr>
        <w:ind w:left="1214" w:hanging="387"/>
      </w:pPr>
      <w:rPr>
        <w:rFonts w:hint="default"/>
        <w:lang w:val="en-US" w:eastAsia="en-US" w:bidi="en-US"/>
      </w:rPr>
    </w:lvl>
    <w:lvl w:ilvl="6">
      <w:numFmt w:val="bullet"/>
      <w:lvlText w:val="•"/>
      <w:lvlJc w:val="left"/>
      <w:pPr>
        <w:ind w:left="1437" w:hanging="387"/>
      </w:pPr>
      <w:rPr>
        <w:rFonts w:hint="default"/>
        <w:lang w:val="en-US" w:eastAsia="en-US" w:bidi="en-US"/>
      </w:rPr>
    </w:lvl>
    <w:lvl w:ilvl="7">
      <w:numFmt w:val="bullet"/>
      <w:lvlText w:val="•"/>
      <w:lvlJc w:val="left"/>
      <w:pPr>
        <w:ind w:left="1661" w:hanging="387"/>
      </w:pPr>
      <w:rPr>
        <w:rFonts w:hint="default"/>
        <w:lang w:val="en-US" w:eastAsia="en-US" w:bidi="en-US"/>
      </w:rPr>
    </w:lvl>
    <w:lvl w:ilvl="8">
      <w:numFmt w:val="bullet"/>
      <w:lvlText w:val="•"/>
      <w:lvlJc w:val="left"/>
      <w:pPr>
        <w:ind w:left="1884" w:hanging="387"/>
      </w:pPr>
      <w:rPr>
        <w:rFonts w:hint="default"/>
        <w:lang w:val="en-US" w:eastAsia="en-US" w:bidi="en-US"/>
      </w:rPr>
    </w:lvl>
  </w:abstractNum>
  <w:abstractNum w:abstractNumId="5" w15:restartNumberingAfterBreak="0">
    <w:nsid w:val="5B7A19AE"/>
    <w:multiLevelType w:val="multilevel"/>
    <w:tmpl w:val="7248962C"/>
    <w:lvl w:ilvl="0">
      <w:start w:val="12"/>
      <w:numFmt w:val="decimal"/>
      <w:lvlText w:val="%1"/>
      <w:lvlJc w:val="left"/>
      <w:pPr>
        <w:ind w:left="107" w:hanging="440"/>
      </w:pPr>
      <w:rPr>
        <w:rFonts w:hint="default"/>
        <w:lang w:val="en-US" w:eastAsia="en-US" w:bidi="en-US"/>
      </w:rPr>
    </w:lvl>
    <w:lvl w:ilvl="1">
      <w:start w:val="2"/>
      <w:numFmt w:val="decimal"/>
      <w:lvlText w:val="%1.%2"/>
      <w:lvlJc w:val="left"/>
      <w:pPr>
        <w:ind w:left="107" w:hanging="440"/>
      </w:pPr>
      <w:rPr>
        <w:rFonts w:ascii="Arial" w:eastAsia="Arial" w:hAnsi="Arial" w:cs="Arial" w:hint="default"/>
        <w:b/>
        <w:bCs/>
        <w:spacing w:val="-1"/>
        <w:w w:val="99"/>
        <w:sz w:val="20"/>
        <w:szCs w:val="20"/>
        <w:lang w:val="en-US" w:eastAsia="en-US" w:bidi="en-US"/>
      </w:rPr>
    </w:lvl>
    <w:lvl w:ilvl="2">
      <w:start w:val="1"/>
      <w:numFmt w:val="decimal"/>
      <w:lvlText w:val="%1.%2.%3"/>
      <w:lvlJc w:val="left"/>
      <w:pPr>
        <w:ind w:left="894" w:hanging="610"/>
      </w:pPr>
      <w:rPr>
        <w:rFonts w:ascii="Arial" w:eastAsia="Arial" w:hAnsi="Arial" w:cs="Arial" w:hint="default"/>
        <w:b/>
        <w:bCs/>
        <w:spacing w:val="-1"/>
        <w:w w:val="99"/>
        <w:sz w:val="20"/>
        <w:szCs w:val="20"/>
        <w:lang w:val="en-US" w:eastAsia="en-US" w:bidi="en-US"/>
      </w:rPr>
    </w:lvl>
    <w:lvl w:ilvl="3">
      <w:numFmt w:val="bullet"/>
      <w:lvlText w:val="•"/>
      <w:lvlJc w:val="left"/>
      <w:pPr>
        <w:ind w:left="769" w:hanging="610"/>
      </w:pPr>
      <w:rPr>
        <w:rFonts w:hint="default"/>
        <w:lang w:val="en-US" w:eastAsia="en-US" w:bidi="en-US"/>
      </w:rPr>
    </w:lvl>
    <w:lvl w:ilvl="4">
      <w:numFmt w:val="bullet"/>
      <w:lvlText w:val="•"/>
      <w:lvlJc w:val="left"/>
      <w:pPr>
        <w:ind w:left="992" w:hanging="610"/>
      </w:pPr>
      <w:rPr>
        <w:rFonts w:hint="default"/>
        <w:lang w:val="en-US" w:eastAsia="en-US" w:bidi="en-US"/>
      </w:rPr>
    </w:lvl>
    <w:lvl w:ilvl="5">
      <w:numFmt w:val="bullet"/>
      <w:lvlText w:val="•"/>
      <w:lvlJc w:val="left"/>
      <w:pPr>
        <w:ind w:left="1216" w:hanging="610"/>
      </w:pPr>
      <w:rPr>
        <w:rFonts w:hint="default"/>
        <w:lang w:val="en-US" w:eastAsia="en-US" w:bidi="en-US"/>
      </w:rPr>
    </w:lvl>
    <w:lvl w:ilvl="6">
      <w:numFmt w:val="bullet"/>
      <w:lvlText w:val="•"/>
      <w:lvlJc w:val="left"/>
      <w:pPr>
        <w:ind w:left="1439" w:hanging="610"/>
      </w:pPr>
      <w:rPr>
        <w:rFonts w:hint="default"/>
        <w:lang w:val="en-US" w:eastAsia="en-US" w:bidi="en-US"/>
      </w:rPr>
    </w:lvl>
    <w:lvl w:ilvl="7">
      <w:numFmt w:val="bullet"/>
      <w:lvlText w:val="•"/>
      <w:lvlJc w:val="left"/>
      <w:pPr>
        <w:ind w:left="1662" w:hanging="610"/>
      </w:pPr>
      <w:rPr>
        <w:rFonts w:hint="default"/>
        <w:lang w:val="en-US" w:eastAsia="en-US" w:bidi="en-US"/>
      </w:rPr>
    </w:lvl>
    <w:lvl w:ilvl="8">
      <w:numFmt w:val="bullet"/>
      <w:lvlText w:val="•"/>
      <w:lvlJc w:val="left"/>
      <w:pPr>
        <w:ind w:left="1885" w:hanging="610"/>
      </w:pPr>
      <w:rPr>
        <w:rFonts w:hint="default"/>
        <w:lang w:val="en-US" w:eastAsia="en-US" w:bidi="en-US"/>
      </w:rPr>
    </w:lvl>
  </w:abstractNum>
  <w:abstractNum w:abstractNumId="6" w15:restartNumberingAfterBreak="0">
    <w:nsid w:val="6EE77498"/>
    <w:multiLevelType w:val="multilevel"/>
    <w:tmpl w:val="B6242EBC"/>
    <w:lvl w:ilvl="0">
      <w:start w:val="5"/>
      <w:numFmt w:val="decimal"/>
      <w:lvlText w:val="%1."/>
      <w:lvlJc w:val="left"/>
      <w:pPr>
        <w:ind w:left="328" w:hanging="221"/>
      </w:pPr>
      <w:rPr>
        <w:rFonts w:ascii="Arial" w:eastAsia="Arial" w:hAnsi="Arial" w:cs="Arial" w:hint="default"/>
        <w:b/>
        <w:bCs/>
        <w:spacing w:val="-1"/>
        <w:w w:val="99"/>
        <w:sz w:val="20"/>
        <w:szCs w:val="20"/>
        <w:lang w:val="en-US" w:eastAsia="en-US" w:bidi="en-US"/>
      </w:rPr>
    </w:lvl>
    <w:lvl w:ilvl="1">
      <w:start w:val="1"/>
      <w:numFmt w:val="decimal"/>
      <w:lvlText w:val="%1.%2."/>
      <w:lvlJc w:val="left"/>
      <w:pPr>
        <w:ind w:left="107" w:hanging="387"/>
      </w:pPr>
      <w:rPr>
        <w:rFonts w:ascii="Arial" w:eastAsia="Arial" w:hAnsi="Arial" w:cs="Arial" w:hint="default"/>
        <w:b/>
        <w:bCs/>
        <w:spacing w:val="-1"/>
        <w:w w:val="99"/>
        <w:sz w:val="20"/>
        <w:szCs w:val="20"/>
        <w:lang w:val="en-US" w:eastAsia="en-US" w:bidi="en-US"/>
      </w:rPr>
    </w:lvl>
    <w:lvl w:ilvl="2">
      <w:numFmt w:val="bullet"/>
      <w:lvlText w:val="•"/>
      <w:lvlJc w:val="left"/>
      <w:pPr>
        <w:ind w:left="543" w:hanging="387"/>
      </w:pPr>
      <w:rPr>
        <w:rFonts w:hint="default"/>
        <w:lang w:val="en-US" w:eastAsia="en-US" w:bidi="en-US"/>
      </w:rPr>
    </w:lvl>
    <w:lvl w:ilvl="3">
      <w:numFmt w:val="bullet"/>
      <w:lvlText w:val="•"/>
      <w:lvlJc w:val="left"/>
      <w:pPr>
        <w:ind w:left="767" w:hanging="387"/>
      </w:pPr>
      <w:rPr>
        <w:rFonts w:hint="default"/>
        <w:lang w:val="en-US" w:eastAsia="en-US" w:bidi="en-US"/>
      </w:rPr>
    </w:lvl>
    <w:lvl w:ilvl="4">
      <w:numFmt w:val="bullet"/>
      <w:lvlText w:val="•"/>
      <w:lvlJc w:val="left"/>
      <w:pPr>
        <w:ind w:left="990" w:hanging="387"/>
      </w:pPr>
      <w:rPr>
        <w:rFonts w:hint="default"/>
        <w:lang w:val="en-US" w:eastAsia="en-US" w:bidi="en-US"/>
      </w:rPr>
    </w:lvl>
    <w:lvl w:ilvl="5">
      <w:numFmt w:val="bullet"/>
      <w:lvlText w:val="•"/>
      <w:lvlJc w:val="left"/>
      <w:pPr>
        <w:ind w:left="1214" w:hanging="387"/>
      </w:pPr>
      <w:rPr>
        <w:rFonts w:hint="default"/>
        <w:lang w:val="en-US" w:eastAsia="en-US" w:bidi="en-US"/>
      </w:rPr>
    </w:lvl>
    <w:lvl w:ilvl="6">
      <w:numFmt w:val="bullet"/>
      <w:lvlText w:val="•"/>
      <w:lvlJc w:val="left"/>
      <w:pPr>
        <w:ind w:left="1437" w:hanging="387"/>
      </w:pPr>
      <w:rPr>
        <w:rFonts w:hint="default"/>
        <w:lang w:val="en-US" w:eastAsia="en-US" w:bidi="en-US"/>
      </w:rPr>
    </w:lvl>
    <w:lvl w:ilvl="7">
      <w:numFmt w:val="bullet"/>
      <w:lvlText w:val="•"/>
      <w:lvlJc w:val="left"/>
      <w:pPr>
        <w:ind w:left="1661" w:hanging="387"/>
      </w:pPr>
      <w:rPr>
        <w:rFonts w:hint="default"/>
        <w:lang w:val="en-US" w:eastAsia="en-US" w:bidi="en-US"/>
      </w:rPr>
    </w:lvl>
    <w:lvl w:ilvl="8">
      <w:numFmt w:val="bullet"/>
      <w:lvlText w:val="•"/>
      <w:lvlJc w:val="left"/>
      <w:pPr>
        <w:ind w:left="1884" w:hanging="387"/>
      </w:pPr>
      <w:rPr>
        <w:rFonts w:hint="default"/>
        <w:lang w:val="en-US" w:eastAsia="en-US" w:bidi="en-US"/>
      </w:rPr>
    </w:lvl>
  </w:abstractNum>
  <w:abstractNum w:abstractNumId="7" w15:restartNumberingAfterBreak="0">
    <w:nsid w:val="7F3B51D3"/>
    <w:multiLevelType w:val="multilevel"/>
    <w:tmpl w:val="5838DF34"/>
    <w:lvl w:ilvl="0">
      <w:start w:val="6"/>
      <w:numFmt w:val="decimal"/>
      <w:lvlText w:val="%1."/>
      <w:lvlJc w:val="left"/>
      <w:pPr>
        <w:ind w:left="107" w:hanging="221"/>
      </w:pPr>
      <w:rPr>
        <w:rFonts w:ascii="Arial" w:eastAsia="Arial" w:hAnsi="Arial" w:cs="Arial" w:hint="default"/>
        <w:b/>
        <w:bCs/>
        <w:spacing w:val="-1"/>
        <w:w w:val="99"/>
        <w:sz w:val="20"/>
        <w:szCs w:val="20"/>
        <w:lang w:val="en-US" w:eastAsia="en-US" w:bidi="en-US"/>
      </w:rPr>
    </w:lvl>
    <w:lvl w:ilvl="1">
      <w:start w:val="1"/>
      <w:numFmt w:val="decimal"/>
      <w:lvlText w:val="%1.%2."/>
      <w:lvlJc w:val="left"/>
      <w:pPr>
        <w:ind w:left="107" w:hanging="387"/>
      </w:pPr>
      <w:rPr>
        <w:rFonts w:ascii="Calibri" w:eastAsia="Arial" w:hAnsi="Calibri" w:cs="Arial" w:hint="default"/>
        <w:b/>
        <w:bCs/>
        <w:spacing w:val="-1"/>
        <w:w w:val="99"/>
        <w:sz w:val="24"/>
        <w:szCs w:val="24"/>
        <w:lang w:val="en-US" w:eastAsia="en-US" w:bidi="en-US"/>
      </w:rPr>
    </w:lvl>
    <w:lvl w:ilvl="2">
      <w:numFmt w:val="bullet"/>
      <w:lvlText w:val="•"/>
      <w:lvlJc w:val="left"/>
      <w:pPr>
        <w:ind w:left="546" w:hanging="387"/>
      </w:pPr>
      <w:rPr>
        <w:rFonts w:hint="default"/>
        <w:lang w:val="en-US" w:eastAsia="en-US" w:bidi="en-US"/>
      </w:rPr>
    </w:lvl>
    <w:lvl w:ilvl="3">
      <w:numFmt w:val="bullet"/>
      <w:lvlText w:val="•"/>
      <w:lvlJc w:val="left"/>
      <w:pPr>
        <w:ind w:left="769" w:hanging="387"/>
      </w:pPr>
      <w:rPr>
        <w:rFonts w:hint="default"/>
        <w:lang w:val="en-US" w:eastAsia="en-US" w:bidi="en-US"/>
      </w:rPr>
    </w:lvl>
    <w:lvl w:ilvl="4">
      <w:numFmt w:val="bullet"/>
      <w:lvlText w:val="•"/>
      <w:lvlJc w:val="left"/>
      <w:pPr>
        <w:ind w:left="992" w:hanging="387"/>
      </w:pPr>
      <w:rPr>
        <w:rFonts w:hint="default"/>
        <w:lang w:val="en-US" w:eastAsia="en-US" w:bidi="en-US"/>
      </w:rPr>
    </w:lvl>
    <w:lvl w:ilvl="5">
      <w:numFmt w:val="bullet"/>
      <w:lvlText w:val="•"/>
      <w:lvlJc w:val="left"/>
      <w:pPr>
        <w:ind w:left="1216" w:hanging="387"/>
      </w:pPr>
      <w:rPr>
        <w:rFonts w:hint="default"/>
        <w:lang w:val="en-US" w:eastAsia="en-US" w:bidi="en-US"/>
      </w:rPr>
    </w:lvl>
    <w:lvl w:ilvl="6">
      <w:numFmt w:val="bullet"/>
      <w:lvlText w:val="•"/>
      <w:lvlJc w:val="left"/>
      <w:pPr>
        <w:ind w:left="1439" w:hanging="387"/>
      </w:pPr>
      <w:rPr>
        <w:rFonts w:hint="default"/>
        <w:lang w:val="en-US" w:eastAsia="en-US" w:bidi="en-US"/>
      </w:rPr>
    </w:lvl>
    <w:lvl w:ilvl="7">
      <w:numFmt w:val="bullet"/>
      <w:lvlText w:val="•"/>
      <w:lvlJc w:val="left"/>
      <w:pPr>
        <w:ind w:left="1662" w:hanging="387"/>
      </w:pPr>
      <w:rPr>
        <w:rFonts w:hint="default"/>
        <w:lang w:val="en-US" w:eastAsia="en-US" w:bidi="en-US"/>
      </w:rPr>
    </w:lvl>
    <w:lvl w:ilvl="8">
      <w:numFmt w:val="bullet"/>
      <w:lvlText w:val="•"/>
      <w:lvlJc w:val="left"/>
      <w:pPr>
        <w:ind w:left="1885" w:hanging="387"/>
      </w:pPr>
      <w:rPr>
        <w:rFonts w:hint="default"/>
        <w:lang w:val="en-US" w:eastAsia="en-US" w:bidi="en-US"/>
      </w:rPr>
    </w:lvl>
  </w:abstractNum>
  <w:num w:numId="1">
    <w:abstractNumId w:val="6"/>
  </w:num>
  <w:num w:numId="2">
    <w:abstractNumId w:val="7"/>
  </w:num>
  <w:num w:numId="3">
    <w:abstractNumId w:val="0"/>
  </w:num>
  <w:num w:numId="4">
    <w:abstractNumId w:val="4"/>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C7B"/>
    <w:rsid w:val="0001733D"/>
    <w:rsid w:val="00045E45"/>
    <w:rsid w:val="00082B7C"/>
    <w:rsid w:val="00090FF3"/>
    <w:rsid w:val="000C0AB0"/>
    <w:rsid w:val="000C1FB7"/>
    <w:rsid w:val="000C6DFE"/>
    <w:rsid w:val="000D06E0"/>
    <w:rsid w:val="000D69E8"/>
    <w:rsid w:val="000E5B7D"/>
    <w:rsid w:val="0010096B"/>
    <w:rsid w:val="00104C93"/>
    <w:rsid w:val="00123647"/>
    <w:rsid w:val="00151E15"/>
    <w:rsid w:val="00164913"/>
    <w:rsid w:val="001702C3"/>
    <w:rsid w:val="00194A5C"/>
    <w:rsid w:val="00197448"/>
    <w:rsid w:val="001A18C2"/>
    <w:rsid w:val="001D7E9E"/>
    <w:rsid w:val="001E61A6"/>
    <w:rsid w:val="001F4238"/>
    <w:rsid w:val="001F4DF6"/>
    <w:rsid w:val="001F6309"/>
    <w:rsid w:val="002342EA"/>
    <w:rsid w:val="00237209"/>
    <w:rsid w:val="00266597"/>
    <w:rsid w:val="002940E4"/>
    <w:rsid w:val="002A4744"/>
    <w:rsid w:val="002B255B"/>
    <w:rsid w:val="002C1918"/>
    <w:rsid w:val="002D2945"/>
    <w:rsid w:val="002E25F7"/>
    <w:rsid w:val="002E6F0F"/>
    <w:rsid w:val="002F1BAF"/>
    <w:rsid w:val="003047EC"/>
    <w:rsid w:val="00344F0F"/>
    <w:rsid w:val="00356AAB"/>
    <w:rsid w:val="0037561F"/>
    <w:rsid w:val="00381104"/>
    <w:rsid w:val="00381C7B"/>
    <w:rsid w:val="00385631"/>
    <w:rsid w:val="00396C3F"/>
    <w:rsid w:val="003B0AB9"/>
    <w:rsid w:val="003B11D7"/>
    <w:rsid w:val="003D62DA"/>
    <w:rsid w:val="003E13DE"/>
    <w:rsid w:val="003E1CDD"/>
    <w:rsid w:val="003F5B46"/>
    <w:rsid w:val="003F6B90"/>
    <w:rsid w:val="00413761"/>
    <w:rsid w:val="00416E70"/>
    <w:rsid w:val="004304CB"/>
    <w:rsid w:val="00464250"/>
    <w:rsid w:val="004867CF"/>
    <w:rsid w:val="004954AC"/>
    <w:rsid w:val="004C18F1"/>
    <w:rsid w:val="004C20DE"/>
    <w:rsid w:val="00505760"/>
    <w:rsid w:val="005072DA"/>
    <w:rsid w:val="00530F55"/>
    <w:rsid w:val="00535ACA"/>
    <w:rsid w:val="005512B6"/>
    <w:rsid w:val="00570473"/>
    <w:rsid w:val="00576AE8"/>
    <w:rsid w:val="00580A11"/>
    <w:rsid w:val="005A1C82"/>
    <w:rsid w:val="005D51BA"/>
    <w:rsid w:val="005E5A96"/>
    <w:rsid w:val="005F1EDA"/>
    <w:rsid w:val="006341D8"/>
    <w:rsid w:val="00641D9F"/>
    <w:rsid w:val="00652EEB"/>
    <w:rsid w:val="006608C4"/>
    <w:rsid w:val="00664F6C"/>
    <w:rsid w:val="00667FD7"/>
    <w:rsid w:val="006D0A06"/>
    <w:rsid w:val="006F14CF"/>
    <w:rsid w:val="007170B2"/>
    <w:rsid w:val="00720837"/>
    <w:rsid w:val="0072436C"/>
    <w:rsid w:val="007825F6"/>
    <w:rsid w:val="00784120"/>
    <w:rsid w:val="007D7993"/>
    <w:rsid w:val="007F1D38"/>
    <w:rsid w:val="007F65AA"/>
    <w:rsid w:val="00802747"/>
    <w:rsid w:val="00807A6D"/>
    <w:rsid w:val="00807F3C"/>
    <w:rsid w:val="0081738A"/>
    <w:rsid w:val="00830CE9"/>
    <w:rsid w:val="00855801"/>
    <w:rsid w:val="00855B4C"/>
    <w:rsid w:val="008A7E47"/>
    <w:rsid w:val="008B4FFA"/>
    <w:rsid w:val="008B66C7"/>
    <w:rsid w:val="008C06E0"/>
    <w:rsid w:val="008D2D24"/>
    <w:rsid w:val="008D5B7F"/>
    <w:rsid w:val="008E4CB5"/>
    <w:rsid w:val="008E5818"/>
    <w:rsid w:val="008F06DA"/>
    <w:rsid w:val="008F2EEE"/>
    <w:rsid w:val="009061FE"/>
    <w:rsid w:val="00923B6D"/>
    <w:rsid w:val="00932823"/>
    <w:rsid w:val="00951672"/>
    <w:rsid w:val="00961AF8"/>
    <w:rsid w:val="00965F13"/>
    <w:rsid w:val="009834B3"/>
    <w:rsid w:val="00986D1D"/>
    <w:rsid w:val="009A6878"/>
    <w:rsid w:val="009D70B2"/>
    <w:rsid w:val="009E1500"/>
    <w:rsid w:val="009E2889"/>
    <w:rsid w:val="009E6F5A"/>
    <w:rsid w:val="00A43303"/>
    <w:rsid w:val="00A508B9"/>
    <w:rsid w:val="00A57578"/>
    <w:rsid w:val="00AE3414"/>
    <w:rsid w:val="00B146F0"/>
    <w:rsid w:val="00B26503"/>
    <w:rsid w:val="00B54846"/>
    <w:rsid w:val="00B601E0"/>
    <w:rsid w:val="00B67CF5"/>
    <w:rsid w:val="00B81F35"/>
    <w:rsid w:val="00B925A7"/>
    <w:rsid w:val="00B9736A"/>
    <w:rsid w:val="00BA1230"/>
    <w:rsid w:val="00BE6178"/>
    <w:rsid w:val="00BF065D"/>
    <w:rsid w:val="00C0507E"/>
    <w:rsid w:val="00C56129"/>
    <w:rsid w:val="00C62F1F"/>
    <w:rsid w:val="00C67764"/>
    <w:rsid w:val="00C70B1F"/>
    <w:rsid w:val="00C93DC0"/>
    <w:rsid w:val="00CA2FD4"/>
    <w:rsid w:val="00CA6A30"/>
    <w:rsid w:val="00CB45B5"/>
    <w:rsid w:val="00CB523D"/>
    <w:rsid w:val="00CC7852"/>
    <w:rsid w:val="00CE419A"/>
    <w:rsid w:val="00D25D8C"/>
    <w:rsid w:val="00D27134"/>
    <w:rsid w:val="00D36469"/>
    <w:rsid w:val="00D41B6F"/>
    <w:rsid w:val="00D61CFF"/>
    <w:rsid w:val="00D677C1"/>
    <w:rsid w:val="00DA27EA"/>
    <w:rsid w:val="00DA3316"/>
    <w:rsid w:val="00DB040C"/>
    <w:rsid w:val="00DB3CA7"/>
    <w:rsid w:val="00DC030B"/>
    <w:rsid w:val="00E07D15"/>
    <w:rsid w:val="00E07D8F"/>
    <w:rsid w:val="00E35F1D"/>
    <w:rsid w:val="00E553EB"/>
    <w:rsid w:val="00E56099"/>
    <w:rsid w:val="00E6504A"/>
    <w:rsid w:val="00E65176"/>
    <w:rsid w:val="00E75855"/>
    <w:rsid w:val="00E831E1"/>
    <w:rsid w:val="00EA5DAD"/>
    <w:rsid w:val="00EB529F"/>
    <w:rsid w:val="00F005C7"/>
    <w:rsid w:val="00F00960"/>
    <w:rsid w:val="00F515D1"/>
    <w:rsid w:val="00F52EB8"/>
    <w:rsid w:val="00F95393"/>
    <w:rsid w:val="00FD7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6CBD3"/>
  <w14:defaultImageDpi w14:val="300"/>
  <w15:docId w15:val="{D2A5F4DB-14D7-4E7A-909A-E2332060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65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5760"/>
    <w:pPr>
      <w:widowControl w:val="0"/>
      <w:autoSpaceDE w:val="0"/>
      <w:autoSpaceDN w:val="0"/>
    </w:pPr>
    <w:rPr>
      <w:rFonts w:ascii="Arial" w:eastAsia="Arial" w:hAnsi="Arial" w:cs="Arial"/>
      <w:sz w:val="22"/>
      <w:szCs w:val="22"/>
      <w:lang w:val="en-US" w:bidi="en-US"/>
    </w:rPr>
  </w:style>
  <w:style w:type="paragraph" w:styleId="ListParagraph">
    <w:name w:val="List Paragraph"/>
    <w:basedOn w:val="Normal"/>
    <w:uiPriority w:val="34"/>
    <w:qFormat/>
    <w:rsid w:val="00C93DC0"/>
    <w:pPr>
      <w:ind w:left="720"/>
      <w:contextualSpacing/>
    </w:pPr>
  </w:style>
  <w:style w:type="paragraph" w:styleId="Footer">
    <w:name w:val="footer"/>
    <w:basedOn w:val="Normal"/>
    <w:link w:val="FooterChar"/>
    <w:uiPriority w:val="99"/>
    <w:unhideWhenUsed/>
    <w:rsid w:val="00DA3316"/>
    <w:pPr>
      <w:tabs>
        <w:tab w:val="center" w:pos="4320"/>
        <w:tab w:val="right" w:pos="8640"/>
      </w:tabs>
    </w:pPr>
  </w:style>
  <w:style w:type="character" w:customStyle="1" w:styleId="FooterChar">
    <w:name w:val="Footer Char"/>
    <w:basedOn w:val="DefaultParagraphFont"/>
    <w:link w:val="Footer"/>
    <w:uiPriority w:val="99"/>
    <w:rsid w:val="00DA3316"/>
  </w:style>
  <w:style w:type="character" w:styleId="PageNumber">
    <w:name w:val="page number"/>
    <w:basedOn w:val="DefaultParagraphFont"/>
    <w:uiPriority w:val="99"/>
    <w:semiHidden/>
    <w:unhideWhenUsed/>
    <w:rsid w:val="00DA3316"/>
  </w:style>
  <w:style w:type="character" w:customStyle="1" w:styleId="Heading2Char">
    <w:name w:val="Heading 2 Char"/>
    <w:basedOn w:val="DefaultParagraphFont"/>
    <w:link w:val="Heading2"/>
    <w:uiPriority w:val="9"/>
    <w:rsid w:val="00B2650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7D57-D212-47D5-8DBC-E0F4C36E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Climate Bonds Initiative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Bigoni</dc:creator>
  <cp:keywords/>
  <dc:description/>
  <cp:lastModifiedBy>Paul Mak</cp:lastModifiedBy>
  <cp:revision>104</cp:revision>
  <dcterms:created xsi:type="dcterms:W3CDTF">2018-09-03T16:24:00Z</dcterms:created>
  <dcterms:modified xsi:type="dcterms:W3CDTF">2020-01-19T17:42:00Z</dcterms:modified>
</cp:coreProperties>
</file>