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44B07" w14:textId="145910D0" w:rsidR="000D69E8" w:rsidRDefault="003047EC" w:rsidP="00B26503">
      <w:pPr>
        <w:pStyle w:val="Heading2"/>
        <w:jc w:val="center"/>
        <w:rPr>
          <w:sz w:val="32"/>
        </w:rPr>
      </w:pPr>
      <w:bookmarkStart w:id="0" w:name="_Hlk528932252"/>
      <w:r w:rsidRPr="00F95393">
        <w:rPr>
          <w:sz w:val="32"/>
        </w:rPr>
        <w:t xml:space="preserve">Climate Bonds Standard </w:t>
      </w:r>
      <w:r w:rsidR="00464250">
        <w:rPr>
          <w:sz w:val="32"/>
        </w:rPr>
        <w:t xml:space="preserve">Version 2.1 </w:t>
      </w:r>
      <w:r w:rsidRPr="00F95393">
        <w:rPr>
          <w:sz w:val="32"/>
        </w:rPr>
        <w:t>P</w:t>
      </w:r>
      <w:r w:rsidR="0009113A">
        <w:rPr>
          <w:sz w:val="32"/>
        </w:rPr>
        <w:t>ost</w:t>
      </w:r>
      <w:r w:rsidRPr="00F95393">
        <w:rPr>
          <w:sz w:val="32"/>
        </w:rPr>
        <w:t xml:space="preserve"> Issuance Certification </w:t>
      </w:r>
      <w:r w:rsidR="00416E70" w:rsidRPr="00F95393">
        <w:rPr>
          <w:sz w:val="32"/>
        </w:rPr>
        <w:t>Requirements</w:t>
      </w:r>
    </w:p>
    <w:p w14:paraId="37E6B4BC" w14:textId="28B0717B" w:rsidR="0009113A" w:rsidRDefault="0009113A" w:rsidP="0009113A"/>
    <w:p w14:paraId="7A2C365A" w14:textId="77777777" w:rsidR="0009113A" w:rsidRDefault="0009113A" w:rsidP="0009113A">
      <w:pPr>
        <w:autoSpaceDE w:val="0"/>
        <w:autoSpaceDN w:val="0"/>
        <w:adjustRightInd w:val="0"/>
        <w:rPr>
          <w:rFonts w:ascii="STSongti-SC-Bold" w:eastAsia="STSongti-SC-Bold" w:cs="STSongti-SC-Bold"/>
          <w:b/>
          <w:bCs/>
          <w:color w:val="365F92"/>
          <w:lang w:val="en-US"/>
        </w:rPr>
      </w:pPr>
      <w:proofErr w:type="spellStart"/>
      <w:r>
        <w:rPr>
          <w:rFonts w:ascii="STSongti-SC-Bold" w:eastAsia="STSongti-SC-Bold" w:cs="STSongti-SC-Bold" w:hint="eastAsia"/>
          <w:b/>
          <w:bCs/>
          <w:color w:val="365F92"/>
          <w:lang w:val="en-US"/>
        </w:rPr>
        <w:t>发⾏后要求</w:t>
      </w:r>
      <w:proofErr w:type="spellEnd"/>
    </w:p>
    <w:p w14:paraId="0D2E1ECC" w14:textId="77777777" w:rsidR="0009113A" w:rsidRDefault="0009113A" w:rsidP="0009113A">
      <w:pPr>
        <w:autoSpaceDE w:val="0"/>
        <w:autoSpaceDN w:val="0"/>
        <w:adjustRightInd w:val="0"/>
        <w:rPr>
          <w:rFonts w:ascii="STSongti-SC-Regular" w:eastAsia="STSongti-SC-Regular" w:cs="STSongti-SC-Regular"/>
          <w:color w:val="000000"/>
          <w:sz w:val="22"/>
          <w:szCs w:val="22"/>
          <w:lang w:val="en-US"/>
        </w:rPr>
      </w:pPr>
      <w:proofErr w:type="spellStart"/>
      <w:r>
        <w:rPr>
          <w:rFonts w:ascii="STSongti-SC-Regular" w:eastAsia="STSongti-SC-Regular" w:cs="STSongti-SC-Regular" w:hint="eastAsia"/>
          <w:color w:val="000000"/>
          <w:sz w:val="22"/>
          <w:szCs w:val="22"/>
          <w:lang w:val="en-US"/>
        </w:rPr>
        <w:t>这部分的⽓候债券标准阐述的要求适⽤于所有已发⾏的认证的⽓候债券，可分为以下三部分</w:t>
      </w:r>
      <w:proofErr w:type="spellEnd"/>
      <w:r>
        <w:rPr>
          <w:rFonts w:ascii="STSongti-SC-Regular" w:eastAsia="STSongti-SC-Regular" w:cs="STSongti-SC-Regular" w:hint="eastAsia"/>
          <w:color w:val="000000"/>
          <w:sz w:val="22"/>
          <w:szCs w:val="22"/>
          <w:lang w:val="en-US"/>
        </w:rPr>
        <w:t>：</w:t>
      </w:r>
    </w:p>
    <w:p w14:paraId="3D603494" w14:textId="77777777" w:rsidR="0009113A" w:rsidRDefault="0009113A" w:rsidP="0009113A">
      <w:pPr>
        <w:autoSpaceDE w:val="0"/>
        <w:autoSpaceDN w:val="0"/>
        <w:adjustRightInd w:val="0"/>
        <w:rPr>
          <w:rFonts w:ascii="STSongti-SC-Regular" w:eastAsia="STSongti-SC-Regular" w:cs="STSongti-SC-Regular"/>
          <w:color w:val="000000"/>
          <w:sz w:val="22"/>
          <w:szCs w:val="22"/>
          <w:lang w:val="en-US"/>
        </w:rPr>
      </w:pPr>
      <w:r>
        <w:rPr>
          <w:rFonts w:ascii="SymbolMT" w:eastAsia="STSongti-SC-Bold" w:hAnsi="SymbolMT" w:cs="SymbolMT"/>
          <w:color w:val="000000"/>
          <w:sz w:val="22"/>
          <w:szCs w:val="22"/>
          <w:lang w:val="en-US"/>
        </w:rPr>
        <w:t xml:space="preserve">• </w:t>
      </w:r>
      <w:r>
        <w:rPr>
          <w:rFonts w:ascii="Whitney-Book" w:eastAsia="STSongti-SC-Bold" w:hAnsi="Whitney-Book" w:cs="Whitney-Book"/>
          <w:color w:val="000000"/>
          <w:sz w:val="21"/>
          <w:szCs w:val="21"/>
          <w:lang w:val="en-US"/>
        </w:rPr>
        <w:t xml:space="preserve">A </w:t>
      </w:r>
      <w:proofErr w:type="spellStart"/>
      <w:r>
        <w:rPr>
          <w:rFonts w:ascii="STSongti-SC-Bold" w:eastAsia="STSongti-SC-Bold" w:cs="STSongti-SC-Bold" w:hint="eastAsia"/>
          <w:b/>
          <w:bCs/>
          <w:color w:val="000000"/>
          <w:sz w:val="22"/>
          <w:szCs w:val="22"/>
          <w:lang w:val="en-US"/>
        </w:rPr>
        <w:t>部分</w:t>
      </w:r>
      <w:proofErr w:type="spellEnd"/>
      <w:r>
        <w:rPr>
          <w:rFonts w:ascii="STSongti-SC-Bold" w:eastAsia="STSongti-SC-Bold" w:cs="STSongti-SC-Bold" w:hint="eastAsia"/>
          <w:b/>
          <w:bCs/>
          <w:color w:val="000000"/>
          <w:sz w:val="22"/>
          <w:szCs w:val="22"/>
          <w:lang w:val="en-US"/>
        </w:rPr>
        <w:t>：⼀</w:t>
      </w:r>
      <w:proofErr w:type="spellStart"/>
      <w:r>
        <w:rPr>
          <w:rFonts w:ascii="STSongti-SC-Bold" w:eastAsia="STSongti-SC-Bold" w:cs="STSongti-SC-Bold" w:hint="eastAsia"/>
          <w:b/>
          <w:bCs/>
          <w:color w:val="000000"/>
          <w:sz w:val="22"/>
          <w:szCs w:val="22"/>
          <w:lang w:val="en-US"/>
        </w:rPr>
        <w:t>般要求：</w:t>
      </w:r>
      <w:r>
        <w:rPr>
          <w:rFonts w:ascii="STSongti-SC-Regular" w:eastAsia="STSongti-SC-Regular" w:cs="STSongti-SC-Regular" w:hint="eastAsia"/>
          <w:color w:val="000000"/>
          <w:sz w:val="22"/>
          <w:szCs w:val="22"/>
          <w:lang w:val="en-US"/>
        </w:rPr>
        <w:t>所有需要发⾏后认证的⽓候债券都需满⾜</w:t>
      </w:r>
      <w:r>
        <w:rPr>
          <w:rFonts w:ascii="Whitney-Book" w:eastAsia="STSongti-SC-Bold" w:hAnsi="Whitney-Book" w:cs="Whitney-Book"/>
          <w:color w:val="000000"/>
          <w:sz w:val="22"/>
          <w:szCs w:val="22"/>
          <w:lang w:val="en-US"/>
        </w:rPr>
        <w:t>A</w:t>
      </w:r>
      <w:proofErr w:type="spellEnd"/>
      <w:r>
        <w:rPr>
          <w:rFonts w:ascii="Whitney-Book" w:eastAsia="STSongti-SC-Bold" w:hAnsi="Whitney-Book" w:cs="Whitney-Book"/>
          <w:color w:val="000000"/>
          <w:sz w:val="22"/>
          <w:szCs w:val="22"/>
          <w:lang w:val="en-US"/>
        </w:rPr>
        <w:t xml:space="preserve"> </w:t>
      </w:r>
      <w:proofErr w:type="spellStart"/>
      <w:r>
        <w:rPr>
          <w:rFonts w:ascii="STSongti-SC-Regular" w:eastAsia="STSongti-SC-Regular" w:cs="STSongti-SC-Regular" w:hint="eastAsia"/>
          <w:color w:val="000000"/>
          <w:sz w:val="22"/>
          <w:szCs w:val="22"/>
          <w:lang w:val="en-US"/>
        </w:rPr>
        <w:t>部分的⼀般要求</w:t>
      </w:r>
      <w:proofErr w:type="spellEnd"/>
      <w:r>
        <w:rPr>
          <w:rFonts w:ascii="STSongti-SC-Regular" w:eastAsia="STSongti-SC-Regular" w:cs="STSongti-SC-Regular" w:hint="eastAsia"/>
          <w:color w:val="000000"/>
          <w:sz w:val="22"/>
          <w:szCs w:val="22"/>
          <w:lang w:val="en-US"/>
        </w:rPr>
        <w:t>。</w:t>
      </w:r>
    </w:p>
    <w:p w14:paraId="2ECDDBA5" w14:textId="77777777" w:rsidR="0009113A" w:rsidRDefault="0009113A" w:rsidP="0009113A">
      <w:pPr>
        <w:autoSpaceDE w:val="0"/>
        <w:autoSpaceDN w:val="0"/>
        <w:adjustRightInd w:val="0"/>
        <w:ind w:left="90" w:hanging="90"/>
        <w:rPr>
          <w:rFonts w:ascii="STSongti-SC-Regular" w:eastAsia="STSongti-SC-Regular" w:cs="STSongti-SC-Regular"/>
          <w:color w:val="000000"/>
          <w:sz w:val="22"/>
          <w:szCs w:val="22"/>
          <w:lang w:val="en-US"/>
        </w:rPr>
      </w:pPr>
      <w:r>
        <w:rPr>
          <w:rFonts w:ascii="SymbolMT" w:eastAsia="STSongti-SC-Bold" w:hAnsi="SymbolMT" w:cs="SymbolMT"/>
          <w:color w:val="000000"/>
          <w:sz w:val="22"/>
          <w:szCs w:val="22"/>
          <w:lang w:val="en-US"/>
        </w:rPr>
        <w:t xml:space="preserve">• </w:t>
      </w:r>
      <w:r>
        <w:rPr>
          <w:rFonts w:ascii="Whitney-Book" w:eastAsia="STSongti-SC-Bold" w:hAnsi="Whitney-Book" w:cs="Whitney-Book"/>
          <w:color w:val="000000"/>
          <w:sz w:val="21"/>
          <w:szCs w:val="21"/>
          <w:lang w:val="en-US"/>
        </w:rPr>
        <w:t xml:space="preserve">B </w:t>
      </w:r>
      <w:proofErr w:type="spellStart"/>
      <w:r>
        <w:rPr>
          <w:rFonts w:ascii="STSongti-SC-Bold" w:eastAsia="STSongti-SC-Bold" w:cs="STSongti-SC-Bold" w:hint="eastAsia"/>
          <w:b/>
          <w:bCs/>
          <w:color w:val="000000"/>
          <w:sz w:val="22"/>
          <w:szCs w:val="22"/>
          <w:lang w:val="en-US"/>
        </w:rPr>
        <w:t>部分：合格项⽬和资产</w:t>
      </w:r>
      <w:proofErr w:type="spellEnd"/>
      <w:r>
        <w:rPr>
          <w:rFonts w:ascii="Whitney-Book" w:eastAsia="STSongti-SC-Bold" w:hAnsi="Whitney-Book" w:cs="Whitney-Book"/>
          <w:color w:val="000000"/>
          <w:sz w:val="21"/>
          <w:szCs w:val="21"/>
          <w:lang w:val="en-US"/>
        </w:rPr>
        <w:t xml:space="preserve">: </w:t>
      </w:r>
      <w:proofErr w:type="spellStart"/>
      <w:r>
        <w:rPr>
          <w:rFonts w:ascii="STSongti-SC-Regular" w:eastAsia="STSongti-SC-Regular" w:cs="STSongti-SC-Regular" w:hint="eastAsia"/>
          <w:color w:val="000000"/>
          <w:sz w:val="22"/>
          <w:szCs w:val="22"/>
          <w:lang w:val="en-US"/>
        </w:rPr>
        <w:t>所有与债券挂钩的项⽬和资产都需满⾜</w:t>
      </w:r>
      <w:r>
        <w:rPr>
          <w:rFonts w:ascii="Whitney-Book" w:eastAsia="STSongti-SC-Bold" w:hAnsi="Whitney-Book" w:cs="Whitney-Book"/>
          <w:color w:val="000000"/>
          <w:sz w:val="22"/>
          <w:szCs w:val="22"/>
          <w:lang w:val="en-US"/>
        </w:rPr>
        <w:t>B</w:t>
      </w:r>
      <w:proofErr w:type="spellEnd"/>
      <w:r>
        <w:rPr>
          <w:rFonts w:ascii="Whitney-Book" w:eastAsia="STSongti-SC-Bold" w:hAnsi="Whitney-Book" w:cs="Whitney-Book"/>
          <w:color w:val="000000"/>
          <w:sz w:val="22"/>
          <w:szCs w:val="22"/>
          <w:lang w:val="en-US"/>
        </w:rPr>
        <w:t xml:space="preserve"> </w:t>
      </w:r>
      <w:proofErr w:type="spellStart"/>
      <w:r>
        <w:rPr>
          <w:rFonts w:ascii="STSongti-SC-Regular" w:eastAsia="STSongti-SC-Regular" w:cs="STSongti-SC-Regular" w:hint="eastAsia"/>
          <w:color w:val="000000"/>
          <w:sz w:val="22"/>
          <w:szCs w:val="22"/>
          <w:lang w:val="en-US"/>
        </w:rPr>
        <w:t>部分的相应要求及⾏业标准</w:t>
      </w:r>
      <w:proofErr w:type="spellEnd"/>
      <w:r>
        <w:rPr>
          <w:rFonts w:ascii="STSongti-SC-Regular" w:eastAsia="STSongti-SC-Regular" w:cs="STSongti-SC-Regular" w:hint="eastAsia"/>
          <w:color w:val="000000"/>
          <w:sz w:val="22"/>
          <w:szCs w:val="22"/>
          <w:lang w:val="en-US"/>
        </w:rPr>
        <w:t>。</w:t>
      </w:r>
    </w:p>
    <w:p w14:paraId="13FE45B7" w14:textId="42B39D52" w:rsidR="0009113A" w:rsidRDefault="0009113A" w:rsidP="0009113A">
      <w:pPr>
        <w:autoSpaceDE w:val="0"/>
        <w:autoSpaceDN w:val="0"/>
        <w:adjustRightInd w:val="0"/>
        <w:rPr>
          <w:rFonts w:ascii="STSongti-SC-Regular" w:eastAsia="STSongti-SC-Regular" w:cs="STSongti-SC-Regular"/>
          <w:color w:val="000000"/>
          <w:sz w:val="22"/>
          <w:szCs w:val="22"/>
          <w:lang w:val="en-US"/>
        </w:rPr>
      </w:pPr>
      <w:r>
        <w:rPr>
          <w:rFonts w:ascii="SymbolMT" w:eastAsia="STSongti-SC-Bold" w:hAnsi="SymbolMT" w:cs="SymbolMT"/>
          <w:color w:val="000000"/>
          <w:sz w:val="22"/>
          <w:szCs w:val="22"/>
          <w:lang w:val="en-US"/>
        </w:rPr>
        <w:t xml:space="preserve">• </w:t>
      </w:r>
      <w:r>
        <w:rPr>
          <w:rFonts w:ascii="Whitney-Book" w:eastAsia="STSongti-SC-Bold" w:hAnsi="Whitney-Book" w:cs="Whitney-Book"/>
          <w:color w:val="000000"/>
          <w:sz w:val="21"/>
          <w:szCs w:val="21"/>
          <w:lang w:val="en-US"/>
        </w:rPr>
        <w:t xml:space="preserve">C </w:t>
      </w:r>
      <w:proofErr w:type="spellStart"/>
      <w:r>
        <w:rPr>
          <w:rFonts w:ascii="STSongti-SC-Bold" w:eastAsia="STSongti-SC-Bold" w:cs="STSongti-SC-Bold" w:hint="eastAsia"/>
          <w:b/>
          <w:bCs/>
          <w:color w:val="000000"/>
          <w:sz w:val="22"/>
          <w:szCs w:val="22"/>
          <w:lang w:val="en-US"/>
        </w:rPr>
        <w:t>部分：针对特定债券类型的要求：</w:t>
      </w:r>
      <w:r>
        <w:rPr>
          <w:rFonts w:ascii="STSongti-SC-Regular" w:eastAsia="STSongti-SC-Regular" w:cs="STSongti-SC-Regular" w:hint="eastAsia"/>
          <w:color w:val="000000"/>
          <w:sz w:val="22"/>
          <w:szCs w:val="22"/>
          <w:lang w:val="en-US"/>
        </w:rPr>
        <w:t>需要发⾏后认证的⽓候债券都需根据债券类型选择性地满⾜</w:t>
      </w:r>
      <w:r>
        <w:rPr>
          <w:rFonts w:ascii="Whitney-Book" w:eastAsia="STSongti-SC-Bold" w:hAnsi="Whitney-Book" w:cs="Whitney-Book"/>
          <w:color w:val="000000"/>
          <w:sz w:val="22"/>
          <w:szCs w:val="22"/>
          <w:lang w:val="en-US"/>
        </w:rPr>
        <w:t>C</w:t>
      </w:r>
      <w:proofErr w:type="spellEnd"/>
      <w:r>
        <w:rPr>
          <w:rFonts w:ascii="Whitney-Book" w:eastAsia="STSongti-SC-Bold" w:hAnsi="Whitney-Book" w:cs="Whitney-Book"/>
          <w:color w:val="000000"/>
          <w:sz w:val="22"/>
          <w:szCs w:val="22"/>
          <w:lang w:val="en-US"/>
        </w:rPr>
        <w:t xml:space="preserve"> </w:t>
      </w:r>
      <w:proofErr w:type="spellStart"/>
      <w:r>
        <w:rPr>
          <w:rFonts w:ascii="STSongti-SC-Regular" w:eastAsia="STSongti-SC-Regular" w:cs="STSongti-SC-Regular" w:hint="eastAsia"/>
          <w:color w:val="000000"/>
          <w:sz w:val="22"/>
          <w:szCs w:val="22"/>
          <w:lang w:val="en-US"/>
        </w:rPr>
        <w:t>部分所列要求</w:t>
      </w:r>
      <w:proofErr w:type="spellEnd"/>
      <w:r>
        <w:rPr>
          <w:rFonts w:ascii="STSongti-SC-Regular" w:eastAsia="STSongti-SC-Regular" w:cs="STSongti-SC-Regular" w:hint="eastAsia"/>
          <w:color w:val="000000"/>
          <w:sz w:val="22"/>
          <w:szCs w:val="22"/>
          <w:lang w:val="en-US"/>
        </w:rPr>
        <w:t>。</w:t>
      </w:r>
    </w:p>
    <w:p w14:paraId="10A01990" w14:textId="1FACD7A0" w:rsidR="0009113A" w:rsidRDefault="0009113A" w:rsidP="0009113A">
      <w:pPr>
        <w:rPr>
          <w:rFonts w:ascii="STSongti-SC-Regular" w:eastAsia="STSongti-SC-Regular" w:cs="STSongti-SC-Regular"/>
          <w:color w:val="000000"/>
          <w:sz w:val="22"/>
          <w:szCs w:val="22"/>
          <w:lang w:val="en-US"/>
        </w:rPr>
      </w:pPr>
    </w:p>
    <w:p w14:paraId="247A0601" w14:textId="77777777" w:rsidR="0009113A" w:rsidRDefault="0009113A" w:rsidP="0009113A">
      <w:pPr>
        <w:autoSpaceDE w:val="0"/>
        <w:autoSpaceDN w:val="0"/>
        <w:adjustRightInd w:val="0"/>
        <w:rPr>
          <w:rFonts w:ascii="STSongti-SC-Bold" w:eastAsia="STSongti-SC-Bold" w:hAnsi="Whitney-Book" w:cs="STSongti-SC-Bold"/>
          <w:b/>
          <w:bCs/>
          <w:color w:val="365F92"/>
          <w:sz w:val="22"/>
          <w:szCs w:val="22"/>
          <w:lang w:val="en-US"/>
        </w:rPr>
      </w:pPr>
      <w:r>
        <w:rPr>
          <w:rFonts w:ascii="Whitney-Book" w:hAnsi="Whitney-Book" w:cs="Whitney-Book"/>
          <w:color w:val="365F92"/>
          <w:sz w:val="21"/>
          <w:szCs w:val="21"/>
          <w:lang w:val="en-US"/>
        </w:rPr>
        <w:t xml:space="preserve">A </w:t>
      </w:r>
      <w:proofErr w:type="spellStart"/>
      <w:r>
        <w:rPr>
          <w:rFonts w:ascii="STSongti-SC-Bold" w:eastAsia="STSongti-SC-Bold" w:hAnsi="Whitney-Book" w:cs="STSongti-SC-Bold" w:hint="eastAsia"/>
          <w:b/>
          <w:bCs/>
          <w:color w:val="365F92"/>
          <w:sz w:val="22"/>
          <w:szCs w:val="22"/>
          <w:lang w:val="en-US"/>
        </w:rPr>
        <w:t>部分</w:t>
      </w:r>
      <w:proofErr w:type="spellEnd"/>
      <w:r>
        <w:rPr>
          <w:rFonts w:ascii="STSongti-SC-Bold" w:eastAsia="STSongti-SC-Bold" w:hAnsi="Whitney-Book" w:cs="STSongti-SC-Bold" w:hint="eastAsia"/>
          <w:b/>
          <w:bCs/>
          <w:color w:val="365F92"/>
          <w:sz w:val="22"/>
          <w:szCs w:val="22"/>
          <w:lang w:val="en-US"/>
        </w:rPr>
        <w:t>：⼀</w:t>
      </w:r>
      <w:proofErr w:type="spellStart"/>
      <w:r>
        <w:rPr>
          <w:rFonts w:ascii="STSongti-SC-Bold" w:eastAsia="STSongti-SC-Bold" w:hAnsi="Whitney-Book" w:cs="STSongti-SC-Bold" w:hint="eastAsia"/>
          <w:b/>
          <w:bCs/>
          <w:color w:val="365F92"/>
          <w:sz w:val="22"/>
          <w:szCs w:val="22"/>
          <w:lang w:val="en-US"/>
        </w:rPr>
        <w:t>般要求</w:t>
      </w:r>
      <w:proofErr w:type="spellEnd"/>
    </w:p>
    <w:p w14:paraId="44D8CBD3" w14:textId="54A840D6" w:rsidR="0009113A" w:rsidRDefault="0009113A" w:rsidP="0009113A">
      <w:pPr>
        <w:autoSpaceDE w:val="0"/>
        <w:autoSpaceDN w:val="0"/>
        <w:adjustRightInd w:val="0"/>
        <w:rPr>
          <w:rFonts w:ascii="STSongti-SC-Regular" w:eastAsia="STSongti-SC-Regular" w:hAnsi="Whitney-Book" w:cs="STSongti-SC-Regular"/>
          <w:color w:val="000000"/>
          <w:sz w:val="22"/>
          <w:szCs w:val="22"/>
          <w:lang w:val="en-US"/>
        </w:rPr>
      </w:pPr>
      <w:proofErr w:type="spellStart"/>
      <w:r>
        <w:rPr>
          <w:rFonts w:ascii="STSongti-SC-Regular" w:eastAsia="STSongti-SC-Regular" w:hAnsi="Whitney-Book" w:cs="STSongti-SC-Regular" w:hint="eastAsia"/>
          <w:color w:val="000000"/>
          <w:sz w:val="22"/>
          <w:szCs w:val="22"/>
          <w:lang w:val="en-US"/>
        </w:rPr>
        <w:t>这部分阐述适⽤于所有需要发⾏后鉴证的认证的⽓候债券的条例，旨在确保债券发</w:t>
      </w:r>
      <w:proofErr w:type="spellEnd"/>
      <w:r>
        <w:rPr>
          <w:rFonts w:ascii="STSongti-SC-Regular" w:eastAsia="STSongti-SC-Regular" w:hAnsi="Whitney-Book" w:cs="STSongti-SC-Regular" w:hint="eastAsia"/>
          <w:color w:val="000000"/>
          <w:sz w:val="22"/>
          <w:szCs w:val="22"/>
          <w:lang w:val="en-US"/>
        </w:rPr>
        <w:t>⾏</w:t>
      </w:r>
      <w:proofErr w:type="spellStart"/>
      <w:r>
        <w:rPr>
          <w:rFonts w:ascii="STSongti-SC-Regular" w:eastAsia="STSongti-SC-Regular" w:hAnsi="Whitney-Book" w:cs="STSongti-SC-Regular" w:hint="eastAsia"/>
          <w:color w:val="000000"/>
          <w:sz w:val="22"/>
          <w:szCs w:val="22"/>
          <w:lang w:val="en-US"/>
        </w:rPr>
        <w:t>后仍能满⾜最基本的要求</w:t>
      </w:r>
      <w:proofErr w:type="spellEnd"/>
      <w:r>
        <w:rPr>
          <w:rFonts w:ascii="STSongti-SC-Regular" w:eastAsia="STSongti-SC-Regular" w:hAnsi="Whitney-Book" w:cs="STSongti-SC-Regular" w:hint="eastAsia"/>
          <w:color w:val="000000"/>
          <w:sz w:val="22"/>
          <w:szCs w:val="22"/>
          <w:lang w:val="en-US"/>
        </w:rPr>
        <w:t>。</w:t>
      </w:r>
    </w:p>
    <w:p w14:paraId="55CC3F23" w14:textId="77777777" w:rsidR="000172B6" w:rsidRDefault="000172B6" w:rsidP="0009113A">
      <w:pPr>
        <w:autoSpaceDE w:val="0"/>
        <w:autoSpaceDN w:val="0"/>
        <w:adjustRightInd w:val="0"/>
        <w:rPr>
          <w:rFonts w:ascii="STSongti-SC-Regular" w:eastAsia="STSongti-SC-Regular" w:hAnsi="Whitney-Book" w:cs="STSongti-SC-Regular"/>
          <w:color w:val="000000"/>
          <w:sz w:val="22"/>
          <w:szCs w:val="22"/>
          <w:lang w:val="en-US"/>
        </w:rPr>
      </w:pPr>
    </w:p>
    <w:tbl>
      <w:tblPr>
        <w:tblStyle w:val="TableGrid"/>
        <w:tblW w:w="10425" w:type="dxa"/>
        <w:tblInd w:w="-743" w:type="dxa"/>
        <w:tblLook w:val="04A0" w:firstRow="1" w:lastRow="0" w:firstColumn="1" w:lastColumn="0" w:noHBand="0" w:noVBand="1"/>
      </w:tblPr>
      <w:tblGrid>
        <w:gridCol w:w="5104"/>
        <w:gridCol w:w="3798"/>
        <w:gridCol w:w="1523"/>
      </w:tblGrid>
      <w:tr w:rsidR="00A43303" w14:paraId="6CFA4FE7" w14:textId="74656D3B" w:rsidTr="0009113A">
        <w:tc>
          <w:tcPr>
            <w:tcW w:w="10425" w:type="dxa"/>
            <w:gridSpan w:val="3"/>
            <w:tcBorders>
              <w:bottom w:val="single" w:sz="4" w:space="0" w:color="auto"/>
            </w:tcBorders>
            <w:shd w:val="clear" w:color="auto" w:fill="99CCFF"/>
          </w:tcPr>
          <w:p w14:paraId="64CDB1B3" w14:textId="4F60EE71" w:rsidR="0009113A" w:rsidRPr="0009113A" w:rsidRDefault="0009113A" w:rsidP="0009113A">
            <w:pPr>
              <w:autoSpaceDE w:val="0"/>
              <w:autoSpaceDN w:val="0"/>
              <w:adjustRightInd w:val="0"/>
              <w:jc w:val="center"/>
              <w:rPr>
                <w:rFonts w:ascii="STSongti-SC-Bold" w:eastAsia="STSongti-SC-Bold" w:hAnsi="Whitney-Book" w:cs="STSongti-SC-Bold"/>
                <w:b/>
                <w:bCs/>
                <w:color w:val="FFFFFF" w:themeColor="background1"/>
                <w:sz w:val="22"/>
                <w:szCs w:val="22"/>
                <w:lang w:val="en-US"/>
              </w:rPr>
            </w:pPr>
            <w:r>
              <w:rPr>
                <w:rFonts w:ascii="STSongti-SC-Regular" w:eastAsia="STSongti-SC-Regular" w:hAnsi="Whitney-Book" w:cs="STSongti-SC-Regular"/>
                <w:color w:val="000000"/>
                <w:sz w:val="22"/>
                <w:szCs w:val="22"/>
                <w:lang w:val="en-US"/>
              </w:rPr>
              <w:br w:type="page"/>
            </w:r>
            <w:bookmarkEnd w:id="0"/>
            <w:r>
              <w:rPr>
                <w:rFonts w:ascii="Calibri" w:hAnsi="Calibri"/>
                <w:b/>
                <w:color w:val="FFFFFF" w:themeColor="background1"/>
                <w:sz w:val="28"/>
                <w:szCs w:val="28"/>
              </w:rPr>
              <w:t>4</w:t>
            </w:r>
            <w:r w:rsidR="00D61CFF">
              <w:rPr>
                <w:rFonts w:ascii="Whitney-Book" w:hAnsi="Whitney-Book" w:cs="Whitney-Book"/>
                <w:color w:val="1F497D"/>
                <w:sz w:val="21"/>
                <w:szCs w:val="21"/>
              </w:rPr>
              <w:t xml:space="preserve">. </w:t>
            </w:r>
            <w:proofErr w:type="spellStart"/>
            <w:r w:rsidRPr="0009113A">
              <w:rPr>
                <w:rFonts w:ascii="STSongti-SC-Bold" w:eastAsia="STSongti-SC-Bold" w:hAnsi="Whitney-Book" w:cs="STSongti-SC-Bold" w:hint="eastAsia"/>
                <w:b/>
                <w:bCs/>
                <w:color w:val="FFFFFF" w:themeColor="background1"/>
                <w:sz w:val="22"/>
                <w:szCs w:val="22"/>
                <w:lang w:val="en-US"/>
              </w:rPr>
              <w:t>指定的项⽬和资产</w:t>
            </w:r>
            <w:proofErr w:type="spellEnd"/>
          </w:p>
          <w:p w14:paraId="721C5BCE" w14:textId="422710F2" w:rsidR="00A43303" w:rsidRDefault="00A43303" w:rsidP="0009113A">
            <w:pPr>
              <w:autoSpaceDE w:val="0"/>
              <w:autoSpaceDN w:val="0"/>
              <w:adjustRightInd w:val="0"/>
              <w:rPr>
                <w:rFonts w:ascii="Calibri" w:hAnsi="Calibri"/>
                <w:b/>
                <w:color w:val="FFFFFF" w:themeColor="background1"/>
                <w:sz w:val="28"/>
                <w:szCs w:val="28"/>
              </w:rPr>
            </w:pPr>
          </w:p>
        </w:tc>
      </w:tr>
      <w:tr w:rsidR="00381104" w:rsidRPr="000D69E8" w14:paraId="55F54F24" w14:textId="44FAD2EA" w:rsidTr="0009113A">
        <w:trPr>
          <w:trHeight w:val="405"/>
        </w:trPr>
        <w:tc>
          <w:tcPr>
            <w:tcW w:w="5104" w:type="dxa"/>
            <w:shd w:val="clear" w:color="auto" w:fill="99CCFF"/>
          </w:tcPr>
          <w:p w14:paraId="57402B87" w14:textId="5555190C" w:rsidR="00A43303" w:rsidRPr="00E56099" w:rsidRDefault="00A43303" w:rsidP="00045E45">
            <w:pPr>
              <w:pStyle w:val="TableParagraph"/>
              <w:ind w:right="504"/>
              <w:jc w:val="center"/>
              <w:rPr>
                <w:rFonts w:ascii="Calibri" w:hAnsi="Calibri"/>
                <w:b/>
                <w:sz w:val="24"/>
                <w:szCs w:val="24"/>
              </w:rPr>
            </w:pPr>
            <w:r w:rsidRPr="00E56099">
              <w:rPr>
                <w:rFonts w:ascii="Calibri" w:hAnsi="Calibri"/>
                <w:b/>
                <w:sz w:val="24"/>
                <w:szCs w:val="24"/>
              </w:rPr>
              <w:t xml:space="preserve">Climate Bonds Standard Requirement </w:t>
            </w:r>
          </w:p>
        </w:tc>
        <w:tc>
          <w:tcPr>
            <w:tcW w:w="3798" w:type="dxa"/>
            <w:shd w:val="clear" w:color="auto" w:fill="99CCFF"/>
          </w:tcPr>
          <w:p w14:paraId="53D2B84D" w14:textId="7E6D885B" w:rsidR="00A43303" w:rsidRPr="000D69E8" w:rsidRDefault="00A43303" w:rsidP="00505760">
            <w:pPr>
              <w:jc w:val="center"/>
              <w:rPr>
                <w:rFonts w:ascii="Calibri" w:hAnsi="Calibri"/>
                <w:b/>
              </w:rPr>
            </w:pPr>
            <w:r>
              <w:rPr>
                <w:rFonts w:ascii="Calibri" w:hAnsi="Calibri"/>
                <w:b/>
              </w:rPr>
              <w:t xml:space="preserve">Findings </w:t>
            </w:r>
          </w:p>
        </w:tc>
        <w:tc>
          <w:tcPr>
            <w:tcW w:w="1523" w:type="dxa"/>
            <w:shd w:val="clear" w:color="auto" w:fill="99CCFF"/>
          </w:tcPr>
          <w:p w14:paraId="657A3632" w14:textId="501E6435" w:rsidR="00A43303" w:rsidRDefault="008E4CB5" w:rsidP="00505760">
            <w:pPr>
              <w:jc w:val="center"/>
              <w:rPr>
                <w:rFonts w:ascii="Calibri" w:hAnsi="Calibri"/>
                <w:b/>
              </w:rPr>
            </w:pPr>
            <w:r>
              <w:rPr>
                <w:rFonts w:ascii="Calibri" w:hAnsi="Calibri"/>
                <w:b/>
              </w:rPr>
              <w:t xml:space="preserve">Requirement </w:t>
            </w:r>
            <w:r w:rsidR="00951672">
              <w:rPr>
                <w:rFonts w:ascii="Calibri" w:hAnsi="Calibri"/>
                <w:b/>
              </w:rPr>
              <w:t xml:space="preserve">Met </w:t>
            </w:r>
            <w:r w:rsidR="00381104">
              <w:rPr>
                <w:rFonts w:ascii="Calibri" w:hAnsi="Calibri"/>
                <w:b/>
              </w:rPr>
              <w:t xml:space="preserve"> </w:t>
            </w:r>
          </w:p>
        </w:tc>
      </w:tr>
      <w:tr w:rsidR="00381104" w14:paraId="7A0ABAF9" w14:textId="1C7DF82E" w:rsidTr="0009113A">
        <w:tc>
          <w:tcPr>
            <w:tcW w:w="5104" w:type="dxa"/>
          </w:tcPr>
          <w:p w14:paraId="796F0A5F" w14:textId="2579BF7B" w:rsidR="0009113A" w:rsidRDefault="0009113A" w:rsidP="0009113A">
            <w:pPr>
              <w:autoSpaceDE w:val="0"/>
              <w:autoSpaceDN w:val="0"/>
              <w:adjustRightInd w:val="0"/>
              <w:rPr>
                <w:rFonts w:ascii="STSongti-SC-Regular" w:eastAsia="STSongti-SC-Regular" w:hAnsi="Whitney-Book" w:cs="STSongti-SC-Regular"/>
                <w:color w:val="000000"/>
                <w:sz w:val="22"/>
                <w:szCs w:val="22"/>
                <w:lang w:val="en-US"/>
              </w:rPr>
            </w:pPr>
            <w:r>
              <w:rPr>
                <w:rFonts w:ascii="Whitney-Book" w:hAnsi="Whitney-Book" w:cs="Whitney-Book"/>
                <w:color w:val="000000"/>
                <w:sz w:val="22"/>
                <w:szCs w:val="22"/>
                <w:lang w:val="en-US"/>
              </w:rPr>
              <w:t xml:space="preserve">4.1. </w:t>
            </w:r>
            <w:r>
              <w:rPr>
                <w:rFonts w:ascii="STSongti-SC-Regular" w:eastAsia="STSongti-SC-Regular" w:hAnsi="Whitney-Book" w:cs="STSongti-SC-Regular" w:hint="eastAsia"/>
                <w:color w:val="000000"/>
                <w:sz w:val="22"/>
                <w:szCs w:val="22"/>
                <w:lang w:val="en-US"/>
              </w:rPr>
              <w:t>发⾏⼈</w:t>
            </w:r>
            <w:proofErr w:type="spellStart"/>
            <w:r>
              <w:rPr>
                <w:rFonts w:ascii="STSongti-SC-Regular" w:eastAsia="STSongti-SC-Regular" w:hAnsi="Whitney-Book" w:cs="STSongti-SC-Regular" w:hint="eastAsia"/>
                <w:color w:val="000000"/>
                <w:sz w:val="22"/>
                <w:szCs w:val="22"/>
                <w:lang w:val="en-US"/>
              </w:rPr>
              <w:t>需保持决定所指定项⽬和资产的持续合规性的决策过程，这包括但不仅限于</w:t>
            </w:r>
            <w:proofErr w:type="spellEnd"/>
            <w:r>
              <w:rPr>
                <w:rFonts w:ascii="STSongti-SC-Regular" w:eastAsia="STSongti-SC-Regular" w:hAnsi="Whitney-Book" w:cs="STSongti-SC-Regular" w:hint="eastAsia"/>
                <w:color w:val="000000"/>
                <w:sz w:val="22"/>
                <w:szCs w:val="22"/>
                <w:lang w:val="en-US"/>
              </w:rPr>
              <w:t>：</w:t>
            </w:r>
          </w:p>
          <w:p w14:paraId="65139B8A" w14:textId="77777777" w:rsidR="0009113A" w:rsidRDefault="0009113A" w:rsidP="0009113A">
            <w:pPr>
              <w:autoSpaceDE w:val="0"/>
              <w:autoSpaceDN w:val="0"/>
              <w:adjustRightInd w:val="0"/>
              <w:rPr>
                <w:rFonts w:ascii="STSongti-SC-Regular" w:eastAsia="STSongti-SC-Regular" w:hAnsi="Whitney-Book" w:cs="STSongti-SC-Regular"/>
                <w:color w:val="000000"/>
                <w:sz w:val="22"/>
                <w:szCs w:val="22"/>
                <w:lang w:val="en-US"/>
              </w:rPr>
            </w:pPr>
            <w:r>
              <w:rPr>
                <w:rFonts w:ascii="Whitney-Book" w:hAnsi="Whitney-Book" w:cs="Whitney-Book"/>
                <w:color w:val="000000"/>
                <w:sz w:val="22"/>
                <w:szCs w:val="22"/>
                <w:lang w:val="en-US"/>
              </w:rPr>
              <w:t xml:space="preserve">4.1.1. </w:t>
            </w:r>
            <w:proofErr w:type="spellStart"/>
            <w:r>
              <w:rPr>
                <w:rFonts w:ascii="STSongti-SC-Regular" w:eastAsia="STSongti-SC-Regular" w:hAnsi="Whitney-Book" w:cs="STSongti-SC-Regular" w:hint="eastAsia"/>
                <w:color w:val="000000"/>
                <w:sz w:val="22"/>
                <w:szCs w:val="22"/>
                <w:lang w:val="en-US"/>
              </w:rPr>
              <w:t>债券环境效益⽬标声明</w:t>
            </w:r>
            <w:proofErr w:type="spellEnd"/>
            <w:r>
              <w:rPr>
                <w:rFonts w:ascii="STSongti-SC-Regular" w:eastAsia="STSongti-SC-Regular" w:hAnsi="Whitney-Book" w:cs="STSongti-SC-Regular" w:hint="eastAsia"/>
                <w:color w:val="000000"/>
                <w:sz w:val="22"/>
                <w:szCs w:val="22"/>
                <w:lang w:val="en-US"/>
              </w:rPr>
              <w:t>。</w:t>
            </w:r>
          </w:p>
          <w:p w14:paraId="3C42D6E6" w14:textId="77777777" w:rsidR="0009113A" w:rsidRDefault="0009113A" w:rsidP="0009113A">
            <w:pPr>
              <w:autoSpaceDE w:val="0"/>
              <w:autoSpaceDN w:val="0"/>
              <w:adjustRightInd w:val="0"/>
              <w:rPr>
                <w:rFonts w:ascii="STSongti-SC-Regular" w:eastAsia="STSongti-SC-Regular" w:hAnsi="Whitney-Book" w:cs="STSongti-SC-Regular"/>
                <w:color w:val="000000"/>
                <w:sz w:val="22"/>
                <w:szCs w:val="22"/>
                <w:lang w:val="en-US"/>
              </w:rPr>
            </w:pPr>
            <w:r>
              <w:rPr>
                <w:rFonts w:ascii="Whitney-Book" w:hAnsi="Whitney-Book" w:cs="Whitney-Book"/>
                <w:color w:val="000000"/>
                <w:sz w:val="22"/>
                <w:szCs w:val="22"/>
                <w:lang w:val="en-US"/>
              </w:rPr>
              <w:t xml:space="preserve">4.1.2. </w:t>
            </w:r>
            <w:proofErr w:type="spellStart"/>
            <w:r>
              <w:rPr>
                <w:rFonts w:ascii="STSongti-SC-Regular" w:eastAsia="STSongti-SC-Regular" w:hAnsi="Whitney-Book" w:cs="STSongti-SC-Regular" w:hint="eastAsia"/>
                <w:color w:val="000000"/>
                <w:sz w:val="22"/>
                <w:szCs w:val="22"/>
                <w:lang w:val="en-US"/>
              </w:rPr>
              <w:t>决定指定项⽬和资产是否符合⽓候债券标准</w:t>
            </w:r>
            <w:r>
              <w:rPr>
                <w:rFonts w:ascii="Whitney-Book" w:hAnsi="Whitney-Book" w:cs="Whitney-Book"/>
                <w:color w:val="000000"/>
                <w:sz w:val="22"/>
                <w:szCs w:val="22"/>
                <w:lang w:val="en-US"/>
              </w:rPr>
              <w:t>B</w:t>
            </w:r>
            <w:proofErr w:type="spellEnd"/>
            <w:r>
              <w:rPr>
                <w:rFonts w:ascii="Whitney-Book" w:hAnsi="Whitney-Book" w:cs="Whitney-Book"/>
                <w:color w:val="000000"/>
                <w:sz w:val="22"/>
                <w:szCs w:val="22"/>
                <w:lang w:val="en-US"/>
              </w:rPr>
              <w:t xml:space="preserve"> </w:t>
            </w:r>
            <w:proofErr w:type="spellStart"/>
            <w:r>
              <w:rPr>
                <w:rFonts w:ascii="STSongti-SC-Regular" w:eastAsia="STSongti-SC-Regular" w:hAnsi="Whitney-Book" w:cs="STSongti-SC-Regular" w:hint="eastAsia"/>
                <w:color w:val="000000"/>
                <w:sz w:val="22"/>
                <w:szCs w:val="22"/>
                <w:lang w:val="en-US"/>
              </w:rPr>
              <w:t>部分所列合规要求的流程</w:t>
            </w:r>
            <w:proofErr w:type="spellEnd"/>
            <w:r>
              <w:rPr>
                <w:rFonts w:ascii="STSongti-SC-Regular" w:eastAsia="STSongti-SC-Regular" w:hAnsi="Whitney-Book" w:cs="STSongti-SC-Regular" w:hint="eastAsia"/>
                <w:color w:val="000000"/>
                <w:sz w:val="22"/>
                <w:szCs w:val="22"/>
                <w:lang w:val="en-US"/>
              </w:rPr>
              <w:t>。</w:t>
            </w:r>
          </w:p>
          <w:p w14:paraId="3EEA0ADE" w14:textId="546864B9" w:rsidR="0081738A" w:rsidRDefault="0081738A" w:rsidP="0009113A">
            <w:pPr>
              <w:ind w:left="170"/>
            </w:pPr>
          </w:p>
        </w:tc>
        <w:tc>
          <w:tcPr>
            <w:tcW w:w="3798" w:type="dxa"/>
          </w:tcPr>
          <w:p w14:paraId="33AFCAFA" w14:textId="77777777" w:rsidR="00A43303" w:rsidRDefault="00A43303"/>
        </w:tc>
        <w:tc>
          <w:tcPr>
            <w:tcW w:w="1523" w:type="dxa"/>
          </w:tcPr>
          <w:p w14:paraId="27A6B249" w14:textId="77777777" w:rsidR="00A43303" w:rsidRDefault="00A43303"/>
        </w:tc>
      </w:tr>
      <w:tr w:rsidR="0009113A" w14:paraId="63A539B7" w14:textId="29FCF237" w:rsidTr="0009113A">
        <w:tc>
          <w:tcPr>
            <w:tcW w:w="5104" w:type="dxa"/>
          </w:tcPr>
          <w:p w14:paraId="7009C2B8" w14:textId="77777777" w:rsidR="0009113A" w:rsidRDefault="0009113A" w:rsidP="0009113A">
            <w:pPr>
              <w:autoSpaceDE w:val="0"/>
              <w:autoSpaceDN w:val="0"/>
              <w:adjustRightInd w:val="0"/>
              <w:rPr>
                <w:rFonts w:ascii="STSongti-SC-Regular" w:eastAsia="STSongti-SC-Regular" w:hAnsi="Whitney-Book" w:cs="STSongti-SC-Regular"/>
                <w:color w:val="000000"/>
                <w:sz w:val="22"/>
                <w:szCs w:val="22"/>
                <w:lang w:val="en-US"/>
              </w:rPr>
            </w:pPr>
            <w:r>
              <w:rPr>
                <w:rFonts w:ascii="Whitney-Book" w:hAnsi="Whitney-Book" w:cs="Whitney-Book"/>
                <w:color w:val="000000"/>
                <w:sz w:val="22"/>
                <w:szCs w:val="22"/>
                <w:lang w:val="en-US"/>
              </w:rPr>
              <w:t xml:space="preserve">4.2. </w:t>
            </w:r>
            <w:r>
              <w:rPr>
                <w:rFonts w:ascii="STSongti-SC-Regular" w:eastAsia="STSongti-SC-Regular" w:hAnsi="Whitney-Book" w:cs="STSongti-SC-Regular" w:hint="eastAsia"/>
                <w:color w:val="000000"/>
                <w:sz w:val="22"/>
                <w:szCs w:val="22"/>
                <w:lang w:val="en-US"/>
              </w:rPr>
              <w:t>所有由债券募集资⾦资助的指定项⽬和资产必须符合根据条例</w:t>
            </w:r>
            <w:r>
              <w:rPr>
                <w:rFonts w:ascii="Whitney-Book" w:hAnsi="Whitney-Book" w:cs="Whitney-Book"/>
                <w:color w:val="000000"/>
                <w:sz w:val="22"/>
                <w:szCs w:val="22"/>
                <w:lang w:val="en-US"/>
              </w:rPr>
              <w:t xml:space="preserve">1.1 </w:t>
            </w:r>
            <w:proofErr w:type="spellStart"/>
            <w:r>
              <w:rPr>
                <w:rFonts w:ascii="STSongti-SC-Regular" w:eastAsia="STSongti-SC-Regular" w:hAnsi="Whitney-Book" w:cs="STSongti-SC-Regular" w:hint="eastAsia"/>
                <w:color w:val="000000"/>
                <w:sz w:val="22"/>
                <w:szCs w:val="22"/>
                <w:lang w:val="en-US"/>
              </w:rPr>
              <w:t>所准备的⽂件中的⽬标，并且</w:t>
            </w:r>
            <w:proofErr w:type="spellEnd"/>
          </w:p>
          <w:p w14:paraId="417FF91E" w14:textId="77777777" w:rsidR="0009113A" w:rsidRDefault="0009113A" w:rsidP="0009113A">
            <w:pPr>
              <w:autoSpaceDE w:val="0"/>
              <w:autoSpaceDN w:val="0"/>
              <w:adjustRightInd w:val="0"/>
              <w:rPr>
                <w:rFonts w:ascii="STSongti-SC-Regular" w:eastAsia="STSongti-SC-Regular" w:hAnsi="Whitney-Book" w:cs="STSongti-SC-Regular"/>
                <w:color w:val="000000"/>
                <w:sz w:val="22"/>
                <w:szCs w:val="22"/>
                <w:lang w:val="en-US"/>
              </w:rPr>
            </w:pPr>
            <w:proofErr w:type="spellStart"/>
            <w:r>
              <w:rPr>
                <w:rFonts w:ascii="STSongti-SC-Regular" w:eastAsia="STSongti-SC-Regular" w:hAnsi="Whitney-Book" w:cs="STSongti-SC-Regular" w:hint="eastAsia"/>
                <w:color w:val="000000"/>
                <w:sz w:val="22"/>
                <w:szCs w:val="22"/>
                <w:lang w:val="en-US"/>
              </w:rPr>
              <w:t>符合⽓候债券标准</w:t>
            </w:r>
            <w:r>
              <w:rPr>
                <w:rFonts w:ascii="Whitney-Book" w:hAnsi="Whitney-Book" w:cs="Whitney-Book"/>
                <w:color w:val="000000"/>
                <w:sz w:val="22"/>
                <w:szCs w:val="22"/>
                <w:lang w:val="en-US"/>
              </w:rPr>
              <w:t>B</w:t>
            </w:r>
            <w:proofErr w:type="spellEnd"/>
            <w:r>
              <w:rPr>
                <w:rFonts w:ascii="Whitney-Book" w:hAnsi="Whitney-Book" w:cs="Whitney-Book"/>
                <w:color w:val="000000"/>
                <w:sz w:val="22"/>
                <w:szCs w:val="22"/>
                <w:lang w:val="en-US"/>
              </w:rPr>
              <w:t xml:space="preserve"> </w:t>
            </w:r>
            <w:proofErr w:type="spellStart"/>
            <w:r>
              <w:rPr>
                <w:rFonts w:ascii="STSongti-SC-Regular" w:eastAsia="STSongti-SC-Regular" w:hAnsi="Whitney-Book" w:cs="STSongti-SC-Regular" w:hint="eastAsia"/>
                <w:color w:val="000000"/>
                <w:sz w:val="22"/>
                <w:szCs w:val="22"/>
                <w:lang w:val="en-US"/>
              </w:rPr>
              <w:t>部分所列要求</w:t>
            </w:r>
            <w:proofErr w:type="spellEnd"/>
            <w:r>
              <w:rPr>
                <w:rFonts w:ascii="STSongti-SC-Regular" w:eastAsia="STSongti-SC-Regular" w:hAnsi="Whitney-Book" w:cs="STSongti-SC-Regular" w:hint="eastAsia"/>
                <w:color w:val="000000"/>
                <w:sz w:val="22"/>
                <w:szCs w:val="22"/>
                <w:lang w:val="en-US"/>
              </w:rPr>
              <w:t>。</w:t>
            </w:r>
          </w:p>
          <w:p w14:paraId="73F8CA47" w14:textId="4633AA4B" w:rsidR="0009113A" w:rsidRDefault="0009113A" w:rsidP="0009113A"/>
        </w:tc>
        <w:tc>
          <w:tcPr>
            <w:tcW w:w="3798" w:type="dxa"/>
          </w:tcPr>
          <w:p w14:paraId="2A74F344" w14:textId="77777777" w:rsidR="0009113A" w:rsidRDefault="0009113A" w:rsidP="0009113A"/>
        </w:tc>
        <w:tc>
          <w:tcPr>
            <w:tcW w:w="1523" w:type="dxa"/>
          </w:tcPr>
          <w:p w14:paraId="67E50437" w14:textId="77777777" w:rsidR="0009113A" w:rsidRDefault="0009113A" w:rsidP="0009113A"/>
        </w:tc>
      </w:tr>
      <w:tr w:rsidR="0009113A" w14:paraId="5F566F5C" w14:textId="77777777" w:rsidTr="0009113A">
        <w:tc>
          <w:tcPr>
            <w:tcW w:w="5104" w:type="dxa"/>
            <w:tcBorders>
              <w:bottom w:val="single" w:sz="4" w:space="0" w:color="auto"/>
            </w:tcBorders>
          </w:tcPr>
          <w:p w14:paraId="709FB501" w14:textId="77777777" w:rsidR="0009113A" w:rsidRDefault="0009113A" w:rsidP="0009113A">
            <w:pPr>
              <w:autoSpaceDE w:val="0"/>
              <w:autoSpaceDN w:val="0"/>
              <w:adjustRightInd w:val="0"/>
              <w:rPr>
                <w:rFonts w:ascii="STSongti-SC-Regular" w:eastAsia="STSongti-SC-Regular" w:hAnsi="Whitney-Book" w:cs="STSongti-SC-Regular"/>
                <w:color w:val="000000"/>
                <w:sz w:val="22"/>
                <w:szCs w:val="22"/>
                <w:lang w:val="en-US"/>
              </w:rPr>
            </w:pPr>
            <w:r>
              <w:rPr>
                <w:rFonts w:ascii="Whitney-Book" w:hAnsi="Whitney-Book" w:cs="Whitney-Book"/>
                <w:color w:val="000000"/>
                <w:sz w:val="22"/>
                <w:szCs w:val="22"/>
                <w:lang w:val="en-US"/>
              </w:rPr>
              <w:t xml:space="preserve">4.3. </w:t>
            </w:r>
            <w:proofErr w:type="spellStart"/>
            <w:r>
              <w:rPr>
                <w:rFonts w:ascii="STSongti-SC-Regular" w:eastAsia="STSongti-SC-Regular" w:hAnsi="Whitney-Book" w:cs="STSongti-SC-Regular" w:hint="eastAsia"/>
                <w:color w:val="000000"/>
                <w:sz w:val="22"/>
                <w:szCs w:val="22"/>
                <w:lang w:val="en-US"/>
              </w:rPr>
              <w:t>已指定的项⽬和资产通常不能和其他认证的⽓候债券挂钩，除⾮发</w:t>
            </w:r>
            <w:proofErr w:type="spellEnd"/>
            <w:r>
              <w:rPr>
                <w:rFonts w:ascii="STSongti-SC-Regular" w:eastAsia="STSongti-SC-Regular" w:hAnsi="Whitney-Book" w:cs="STSongti-SC-Regular" w:hint="eastAsia"/>
                <w:color w:val="000000"/>
                <w:sz w:val="22"/>
                <w:szCs w:val="22"/>
                <w:lang w:val="en-US"/>
              </w:rPr>
              <w:t>⾏⼈</w:t>
            </w:r>
            <w:proofErr w:type="spellStart"/>
            <w:r>
              <w:rPr>
                <w:rFonts w:ascii="STSongti-SC-Regular" w:eastAsia="STSongti-SC-Regular" w:hAnsi="Whitney-Book" w:cs="STSongti-SC-Regular" w:hint="eastAsia"/>
                <w:color w:val="000000"/>
                <w:sz w:val="22"/>
                <w:szCs w:val="22"/>
                <w:lang w:val="en-US"/>
              </w:rPr>
              <w:t>证实所指定项⽬和资产</w:t>
            </w:r>
            <w:proofErr w:type="spellEnd"/>
          </w:p>
          <w:p w14:paraId="39EFDCDA" w14:textId="77777777" w:rsidR="0009113A" w:rsidRDefault="0009113A" w:rsidP="0009113A">
            <w:pPr>
              <w:autoSpaceDE w:val="0"/>
              <w:autoSpaceDN w:val="0"/>
              <w:adjustRightInd w:val="0"/>
              <w:rPr>
                <w:rFonts w:ascii="STSongti-SC-Regular" w:eastAsia="STSongti-SC-Regular" w:hAnsi="Whitney-Book" w:cs="STSongti-SC-Regular"/>
                <w:color w:val="000000"/>
                <w:sz w:val="22"/>
                <w:szCs w:val="22"/>
                <w:lang w:val="en-US"/>
              </w:rPr>
            </w:pPr>
            <w:proofErr w:type="spellStart"/>
            <w:r>
              <w:rPr>
                <w:rFonts w:ascii="STSongti-SC-Regular" w:eastAsia="STSongti-SC-Regular" w:hAnsi="Whitney-Book" w:cs="STSongti-SC-Regular" w:hint="eastAsia"/>
                <w:color w:val="000000"/>
                <w:sz w:val="22"/>
                <w:szCs w:val="22"/>
                <w:lang w:val="en-US"/>
              </w:rPr>
              <w:t>由不同的认证的⽓候债券进⾏融资的⽐例，或现有的认证的⽓候债券将通过另⼀认证的⽓候债</w:t>
            </w:r>
            <w:proofErr w:type="spellEnd"/>
          </w:p>
          <w:p w14:paraId="02BBBBE6" w14:textId="41F869D7" w:rsidR="0009113A" w:rsidRPr="0009113A" w:rsidRDefault="0009113A" w:rsidP="0009113A">
            <w:pPr>
              <w:autoSpaceDE w:val="0"/>
              <w:autoSpaceDN w:val="0"/>
              <w:adjustRightInd w:val="0"/>
              <w:rPr>
                <w:rFonts w:ascii="Calibri" w:hAnsi="Calibri"/>
                <w:b/>
                <w:lang w:val="en-US"/>
              </w:rPr>
            </w:pPr>
            <w:proofErr w:type="spellStart"/>
            <w:r>
              <w:rPr>
                <w:rFonts w:ascii="STSongti-SC-Regular" w:eastAsia="STSongti-SC-Regular" w:hAnsi="Whitney-Book" w:cs="STSongti-SC-Regular" w:hint="eastAsia"/>
                <w:color w:val="000000"/>
                <w:sz w:val="22"/>
                <w:szCs w:val="22"/>
                <w:lang w:val="en-US"/>
              </w:rPr>
              <w:t>券进⾏再融资</w:t>
            </w:r>
            <w:proofErr w:type="spellEnd"/>
            <w:r>
              <w:rPr>
                <w:rFonts w:ascii="STSongti-SC-Regular" w:eastAsia="STSongti-SC-Regular" w:hAnsi="Whitney-Book" w:cs="STSongti-SC-Regular" w:hint="eastAsia"/>
                <w:color w:val="000000"/>
                <w:sz w:val="22"/>
                <w:szCs w:val="22"/>
                <w:lang w:val="en-US"/>
              </w:rPr>
              <w:t>。</w:t>
            </w:r>
          </w:p>
        </w:tc>
        <w:tc>
          <w:tcPr>
            <w:tcW w:w="3798" w:type="dxa"/>
            <w:tcBorders>
              <w:bottom w:val="single" w:sz="4" w:space="0" w:color="auto"/>
            </w:tcBorders>
          </w:tcPr>
          <w:p w14:paraId="77241934" w14:textId="77777777" w:rsidR="0009113A" w:rsidRDefault="0009113A" w:rsidP="0009113A"/>
        </w:tc>
        <w:tc>
          <w:tcPr>
            <w:tcW w:w="1523" w:type="dxa"/>
            <w:tcBorders>
              <w:bottom w:val="single" w:sz="4" w:space="0" w:color="auto"/>
            </w:tcBorders>
          </w:tcPr>
          <w:p w14:paraId="3EE7D801" w14:textId="77777777" w:rsidR="0009113A" w:rsidRDefault="0009113A" w:rsidP="0009113A"/>
        </w:tc>
      </w:tr>
    </w:tbl>
    <w:p w14:paraId="6F0CEEB6" w14:textId="77777777" w:rsidR="002E6F0F" w:rsidRDefault="002E6F0F"/>
    <w:p w14:paraId="09778217" w14:textId="49D3426F" w:rsidR="002E25F7" w:rsidRDefault="002E25F7"/>
    <w:p w14:paraId="48A869A6" w14:textId="7FE9F086" w:rsidR="000172B6" w:rsidRDefault="000172B6"/>
    <w:p w14:paraId="4CBD421C" w14:textId="77777777" w:rsidR="000172B6" w:rsidRDefault="000172B6"/>
    <w:tbl>
      <w:tblPr>
        <w:tblStyle w:val="TableGrid"/>
        <w:tblW w:w="10349" w:type="dxa"/>
        <w:tblInd w:w="-743" w:type="dxa"/>
        <w:tblLayout w:type="fixed"/>
        <w:tblLook w:val="04A0" w:firstRow="1" w:lastRow="0" w:firstColumn="1" w:lastColumn="0" w:noHBand="0" w:noVBand="1"/>
      </w:tblPr>
      <w:tblGrid>
        <w:gridCol w:w="5104"/>
        <w:gridCol w:w="3685"/>
        <w:gridCol w:w="1560"/>
      </w:tblGrid>
      <w:tr w:rsidR="001F4238" w14:paraId="11E65FA6" w14:textId="77777777" w:rsidTr="008B66C7">
        <w:trPr>
          <w:trHeight w:val="515"/>
        </w:trPr>
        <w:tc>
          <w:tcPr>
            <w:tcW w:w="10349" w:type="dxa"/>
            <w:gridSpan w:val="3"/>
            <w:shd w:val="clear" w:color="auto" w:fill="99CCFF"/>
          </w:tcPr>
          <w:p w14:paraId="1D5CF316" w14:textId="1BCF12D4" w:rsidR="001F4238" w:rsidRDefault="0009113A" w:rsidP="000B5FAA">
            <w:pPr>
              <w:pStyle w:val="TableParagraph"/>
              <w:ind w:right="504"/>
              <w:jc w:val="center"/>
              <w:rPr>
                <w:rFonts w:ascii="Calibri" w:hAnsi="Calibri"/>
                <w:b/>
                <w:color w:val="FFFFFF" w:themeColor="background1"/>
                <w:sz w:val="28"/>
                <w:szCs w:val="28"/>
              </w:rPr>
            </w:pPr>
            <w:r w:rsidRPr="0009113A">
              <w:rPr>
                <w:rFonts w:ascii="Calibri" w:hAnsi="Calibri"/>
                <w:b/>
                <w:color w:val="FFFFFF" w:themeColor="background1"/>
                <w:sz w:val="28"/>
                <w:szCs w:val="28"/>
              </w:rPr>
              <w:lastRenderedPageBreak/>
              <w:t xml:space="preserve">5. </w:t>
            </w:r>
            <w:proofErr w:type="spellStart"/>
            <w:r w:rsidRPr="0009113A">
              <w:rPr>
                <w:rFonts w:ascii="Microsoft JhengHei" w:eastAsia="Microsoft JhengHei" w:hAnsi="Microsoft JhengHei" w:cs="Microsoft JhengHei" w:hint="eastAsia"/>
                <w:b/>
                <w:color w:val="FFFFFF" w:themeColor="background1"/>
                <w:sz w:val="28"/>
                <w:szCs w:val="28"/>
              </w:rPr>
              <w:t>募集资⾦使</w:t>
            </w:r>
            <w:proofErr w:type="spellEnd"/>
            <w:r w:rsidRPr="0009113A">
              <w:rPr>
                <w:rFonts w:ascii="Microsoft JhengHei" w:eastAsia="Microsoft JhengHei" w:hAnsi="Microsoft JhengHei" w:cs="Microsoft JhengHei" w:hint="eastAsia"/>
                <w:b/>
                <w:color w:val="FFFFFF" w:themeColor="background1"/>
                <w:sz w:val="28"/>
                <w:szCs w:val="28"/>
              </w:rPr>
              <w:t>⽤</w:t>
            </w:r>
          </w:p>
        </w:tc>
      </w:tr>
      <w:tr w:rsidR="001F4238" w14:paraId="61C8CAA6" w14:textId="77777777" w:rsidTr="008B66C7">
        <w:trPr>
          <w:trHeight w:val="581"/>
        </w:trPr>
        <w:tc>
          <w:tcPr>
            <w:tcW w:w="5104" w:type="dxa"/>
            <w:shd w:val="clear" w:color="auto" w:fill="99CCFF"/>
          </w:tcPr>
          <w:p w14:paraId="4DF00FD0" w14:textId="77777777" w:rsidR="001F4238" w:rsidRPr="008E4CB5" w:rsidRDefault="001F4238" w:rsidP="008D5B7F">
            <w:pPr>
              <w:jc w:val="center"/>
              <w:rPr>
                <w:rFonts w:ascii="Calibri" w:hAnsi="Calibri"/>
                <w:b/>
              </w:rPr>
            </w:pPr>
            <w:r w:rsidRPr="008E4CB5">
              <w:rPr>
                <w:rFonts w:ascii="Calibri" w:hAnsi="Calibri"/>
                <w:b/>
              </w:rPr>
              <w:t>Climate Bonds Standard Requirement</w:t>
            </w:r>
          </w:p>
        </w:tc>
        <w:tc>
          <w:tcPr>
            <w:tcW w:w="3685" w:type="dxa"/>
            <w:shd w:val="clear" w:color="auto" w:fill="99CCFF"/>
          </w:tcPr>
          <w:p w14:paraId="0D9B745C" w14:textId="77777777" w:rsidR="001F4238" w:rsidRPr="008E4CB5" w:rsidRDefault="001F4238" w:rsidP="000B5FAA">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Findings </w:t>
            </w:r>
          </w:p>
        </w:tc>
        <w:tc>
          <w:tcPr>
            <w:tcW w:w="1560" w:type="dxa"/>
            <w:shd w:val="clear" w:color="auto" w:fill="99CCFF"/>
          </w:tcPr>
          <w:p w14:paraId="555C98BA" w14:textId="77777777" w:rsidR="008E4CB5" w:rsidRPr="008E4CB5" w:rsidRDefault="008E4CB5" w:rsidP="000B5FAA">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1FCBA013" w14:textId="0F76A31F" w:rsidR="001F4238" w:rsidRPr="008E4CB5" w:rsidRDefault="001F4238" w:rsidP="000B5FAA">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Met </w:t>
            </w:r>
          </w:p>
        </w:tc>
      </w:tr>
      <w:tr w:rsidR="008B66C7" w:rsidRPr="00E553EB" w14:paraId="5C946EF3" w14:textId="77777777" w:rsidTr="008B66C7">
        <w:tc>
          <w:tcPr>
            <w:tcW w:w="5104" w:type="dxa"/>
          </w:tcPr>
          <w:p w14:paraId="3F01B3DE" w14:textId="7A10D944" w:rsidR="008B66C7" w:rsidRPr="00F515D1" w:rsidRDefault="0009113A" w:rsidP="008B66C7">
            <w:pPr>
              <w:rPr>
                <w:rFonts w:ascii="Calibri" w:hAnsi="Calibri"/>
                <w:b/>
              </w:rPr>
            </w:pPr>
            <w:r>
              <w:rPr>
                <w:rFonts w:ascii="Whitney-Book" w:hAnsi="Whitney-Book" w:cs="Whitney-Book"/>
                <w:sz w:val="22"/>
                <w:szCs w:val="22"/>
                <w:lang w:val="en-US"/>
              </w:rPr>
              <w:t xml:space="preserve">5.1. </w:t>
            </w:r>
            <w:proofErr w:type="spellStart"/>
            <w:r>
              <w:rPr>
                <w:rFonts w:ascii="STSongti-SC-Regular" w:eastAsia="STSongti-SC-Regular" w:hAnsi="Whitney-Book" w:cs="STSongti-SC-Regular" w:hint="eastAsia"/>
                <w:sz w:val="22"/>
                <w:szCs w:val="22"/>
                <w:lang w:val="en-US"/>
              </w:rPr>
              <w:t>债券募集资⾦应投放⾄指定的项⽬和资产</w:t>
            </w:r>
            <w:proofErr w:type="spellEnd"/>
            <w:r>
              <w:rPr>
                <w:rFonts w:ascii="STSongti-SC-Regular" w:eastAsia="STSongti-SC-Regular" w:hAnsi="Whitney-Book" w:cs="STSongti-SC-Regular" w:hint="eastAsia"/>
                <w:sz w:val="22"/>
                <w:szCs w:val="22"/>
                <w:lang w:val="en-US"/>
              </w:rPr>
              <w:t>。</w:t>
            </w:r>
          </w:p>
        </w:tc>
        <w:tc>
          <w:tcPr>
            <w:tcW w:w="3685" w:type="dxa"/>
          </w:tcPr>
          <w:p w14:paraId="3F5E1933" w14:textId="77777777" w:rsidR="008B66C7" w:rsidRPr="00E553EB" w:rsidRDefault="008B66C7" w:rsidP="006341D8">
            <w:pPr>
              <w:rPr>
                <w:rFonts w:ascii="Calibri" w:hAnsi="Calibri"/>
              </w:rPr>
            </w:pPr>
          </w:p>
        </w:tc>
        <w:tc>
          <w:tcPr>
            <w:tcW w:w="1560" w:type="dxa"/>
          </w:tcPr>
          <w:p w14:paraId="17F9934B" w14:textId="77777777" w:rsidR="008B66C7" w:rsidRPr="00E553EB" w:rsidRDefault="008B66C7" w:rsidP="000B5FAA">
            <w:pPr>
              <w:rPr>
                <w:rFonts w:ascii="Calibri" w:hAnsi="Calibri"/>
              </w:rPr>
            </w:pPr>
          </w:p>
        </w:tc>
      </w:tr>
      <w:tr w:rsidR="001F4238" w:rsidRPr="00E553EB" w14:paraId="7CFAD1D5" w14:textId="77777777" w:rsidTr="008B66C7">
        <w:tc>
          <w:tcPr>
            <w:tcW w:w="5104" w:type="dxa"/>
          </w:tcPr>
          <w:p w14:paraId="4BAFC2CA"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5.2. </w:t>
            </w:r>
            <w:r>
              <w:rPr>
                <w:rFonts w:ascii="STSongti-SC-Regular" w:eastAsia="STSongti-SC-Regular" w:hAnsi="Whitney-Book" w:cs="STSongti-SC-Regular" w:hint="eastAsia"/>
                <w:sz w:val="22"/>
                <w:szCs w:val="22"/>
                <w:lang w:val="en-US"/>
              </w:rPr>
              <w:t>发⾏⼈在债券发⾏后</w:t>
            </w:r>
            <w:r>
              <w:rPr>
                <w:rFonts w:ascii="Whitney-Book" w:hAnsi="Whitney-Book" w:cs="Whitney-Book"/>
                <w:sz w:val="22"/>
                <w:szCs w:val="22"/>
                <w:lang w:val="en-US"/>
              </w:rPr>
              <w:t xml:space="preserve">24 </w:t>
            </w:r>
            <w:proofErr w:type="spellStart"/>
            <w:r>
              <w:rPr>
                <w:rFonts w:ascii="STSongti-SC-Regular" w:eastAsia="STSongti-SC-Regular" w:hAnsi="Whitney-Book" w:cs="STSongti-SC-Regular" w:hint="eastAsia"/>
                <w:sz w:val="22"/>
                <w:szCs w:val="22"/>
                <w:lang w:val="en-US"/>
              </w:rPr>
              <w:t>个⽉内应将资⾦投放⾄指定的项⽬和资产，在债券存续期间资⾦可再</w:t>
            </w:r>
            <w:proofErr w:type="spellEnd"/>
          </w:p>
          <w:p w14:paraId="6F1322A9" w14:textId="30D0A98F" w:rsidR="001F4238" w:rsidRPr="008B66C7" w:rsidRDefault="0009113A" w:rsidP="0009113A">
            <w:pPr>
              <w:rPr>
                <w:rFonts w:ascii="Calibri" w:hAnsi="Calibri"/>
                <w:bCs/>
              </w:rPr>
            </w:pPr>
            <w:proofErr w:type="spellStart"/>
            <w:r>
              <w:rPr>
                <w:rFonts w:ascii="STSongti-SC-Regular" w:eastAsia="STSongti-SC-Regular" w:hAnsi="Whitney-Book" w:cs="STSongti-SC-Regular" w:hint="eastAsia"/>
                <w:sz w:val="22"/>
                <w:szCs w:val="22"/>
                <w:lang w:val="en-US"/>
              </w:rPr>
              <w:t>投放⾄任何其它指定项⽬资产</w:t>
            </w:r>
            <w:proofErr w:type="spellEnd"/>
            <w:r>
              <w:rPr>
                <w:rFonts w:ascii="STSongti-SC-Regular" w:eastAsia="STSongti-SC-Regular" w:hAnsi="Whitney-Book" w:cs="STSongti-SC-Regular" w:hint="eastAsia"/>
                <w:sz w:val="22"/>
                <w:szCs w:val="22"/>
                <w:lang w:val="en-US"/>
              </w:rPr>
              <w:t>。</w:t>
            </w:r>
          </w:p>
        </w:tc>
        <w:tc>
          <w:tcPr>
            <w:tcW w:w="3685" w:type="dxa"/>
          </w:tcPr>
          <w:p w14:paraId="4C259DDD" w14:textId="2D1B9258" w:rsidR="001F4238" w:rsidRPr="00E553EB" w:rsidRDefault="001F4238" w:rsidP="006341D8">
            <w:pPr>
              <w:rPr>
                <w:rFonts w:ascii="Calibri" w:hAnsi="Calibri"/>
              </w:rPr>
            </w:pPr>
          </w:p>
        </w:tc>
        <w:tc>
          <w:tcPr>
            <w:tcW w:w="1560" w:type="dxa"/>
          </w:tcPr>
          <w:p w14:paraId="5A25F37C" w14:textId="77777777" w:rsidR="001F4238" w:rsidRPr="00E553EB" w:rsidRDefault="001F4238" w:rsidP="000B5FAA">
            <w:pPr>
              <w:rPr>
                <w:rFonts w:ascii="Calibri" w:hAnsi="Calibri"/>
              </w:rPr>
            </w:pPr>
          </w:p>
        </w:tc>
      </w:tr>
      <w:tr w:rsidR="001F4238" w:rsidRPr="00E553EB" w14:paraId="14B1588D" w14:textId="77777777" w:rsidTr="008B66C7">
        <w:tc>
          <w:tcPr>
            <w:tcW w:w="5104" w:type="dxa"/>
          </w:tcPr>
          <w:p w14:paraId="03D2AFE2"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5.3. </w:t>
            </w:r>
            <w:proofErr w:type="spellStart"/>
            <w:r>
              <w:rPr>
                <w:rFonts w:ascii="STSongti-SC-Regular" w:eastAsia="STSongti-SC-Regular" w:hAnsi="Whitney-Book" w:cs="STSongti-SC-Regular" w:hint="eastAsia"/>
                <w:sz w:val="22"/>
                <w:szCs w:val="22"/>
                <w:lang w:val="en-US"/>
              </w:rPr>
              <w:t>若净募集资</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部分⽤于再融资，发</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应提供⽤于融资及再融资的资⾦所占募集资⾦的⽐重</w:t>
            </w:r>
            <w:proofErr w:type="spellEnd"/>
            <w:r>
              <w:rPr>
                <w:rFonts w:ascii="STSongti-SC-Regular" w:eastAsia="STSongti-SC-Regular" w:hAnsi="Whitney-Book" w:cs="STSongti-SC-Regular" w:hint="eastAsia"/>
                <w:sz w:val="22"/>
                <w:szCs w:val="22"/>
                <w:lang w:val="en-US"/>
              </w:rPr>
              <w:t>，</w:t>
            </w:r>
          </w:p>
          <w:p w14:paraId="3D50C6E6" w14:textId="44B22CA2" w:rsidR="001F4238" w:rsidRPr="00E553EB" w:rsidRDefault="0009113A" w:rsidP="0009113A">
            <w:pPr>
              <w:rPr>
                <w:rFonts w:ascii="Calibri" w:hAnsi="Calibri"/>
              </w:rPr>
            </w:pPr>
            <w:proofErr w:type="spellStart"/>
            <w:r>
              <w:rPr>
                <w:rFonts w:ascii="STSongti-SC-Regular" w:eastAsia="STSongti-SC-Regular" w:hAnsi="Whitney-Book" w:cs="STSongti-SC-Regular" w:hint="eastAsia"/>
                <w:sz w:val="22"/>
                <w:szCs w:val="22"/>
                <w:lang w:val="en-US"/>
              </w:rPr>
              <w:t>并列明再融资的指定项⽬和资产</w:t>
            </w:r>
            <w:proofErr w:type="spellEnd"/>
            <w:r>
              <w:rPr>
                <w:rFonts w:ascii="STSongti-SC-Regular" w:eastAsia="STSongti-SC-Regular" w:hAnsi="Whitney-Book" w:cs="STSongti-SC-Regular" w:hint="eastAsia"/>
                <w:sz w:val="22"/>
                <w:szCs w:val="22"/>
                <w:lang w:val="en-US"/>
              </w:rPr>
              <w:t>。</w:t>
            </w:r>
          </w:p>
        </w:tc>
        <w:tc>
          <w:tcPr>
            <w:tcW w:w="3685" w:type="dxa"/>
          </w:tcPr>
          <w:p w14:paraId="5EEB3C65" w14:textId="77777777" w:rsidR="001F4238" w:rsidRPr="00E553EB" w:rsidRDefault="001F4238" w:rsidP="000B5FAA">
            <w:pPr>
              <w:rPr>
                <w:rFonts w:ascii="Calibri" w:hAnsi="Calibri"/>
              </w:rPr>
            </w:pPr>
          </w:p>
        </w:tc>
        <w:tc>
          <w:tcPr>
            <w:tcW w:w="1560" w:type="dxa"/>
          </w:tcPr>
          <w:p w14:paraId="0178DC8A" w14:textId="77777777" w:rsidR="001F4238" w:rsidRPr="00E553EB" w:rsidRDefault="001F4238" w:rsidP="000B5FAA">
            <w:pPr>
              <w:rPr>
                <w:rFonts w:ascii="Calibri" w:hAnsi="Calibri"/>
              </w:rPr>
            </w:pPr>
          </w:p>
        </w:tc>
      </w:tr>
      <w:tr w:rsidR="00CA2FD4" w:rsidRPr="00E553EB" w14:paraId="64832FBF" w14:textId="77777777" w:rsidTr="008B66C7">
        <w:tc>
          <w:tcPr>
            <w:tcW w:w="5104" w:type="dxa"/>
          </w:tcPr>
          <w:p w14:paraId="6279EAA8"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5.4. </w:t>
            </w:r>
            <w:proofErr w:type="spellStart"/>
            <w:r>
              <w:rPr>
                <w:rFonts w:ascii="STSongti-SC-Regular" w:eastAsia="STSongti-SC-Regular" w:hAnsi="Whitney-Book" w:cs="STSongti-SC-Regular" w:hint="eastAsia"/>
                <w:sz w:val="22"/>
                <w:szCs w:val="22"/>
                <w:lang w:val="en-US"/>
              </w:rPr>
              <w:t>债券净募集资⾦应由发</w:t>
            </w:r>
            <w:proofErr w:type="spellEnd"/>
            <w:r>
              <w:rPr>
                <w:rFonts w:ascii="STSongti-SC-Regular" w:eastAsia="STSongti-SC-Regular" w:hAnsi="Whitney-Book" w:cs="STSongti-SC-Regular" w:hint="eastAsia"/>
                <w:sz w:val="22"/>
                <w:szCs w:val="22"/>
                <w:lang w:val="en-US"/>
              </w:rPr>
              <w:t>⾏⼈通过正式的内部流程进⾏追踪，如按照条例</w:t>
            </w:r>
            <w:r>
              <w:rPr>
                <w:rFonts w:ascii="Whitney-Book" w:hAnsi="Whitney-Book" w:cs="Whitney-Book"/>
                <w:sz w:val="22"/>
                <w:szCs w:val="22"/>
                <w:lang w:val="en-US"/>
              </w:rPr>
              <w:t xml:space="preserve">2.1 </w:t>
            </w:r>
            <w:proofErr w:type="spellStart"/>
            <w:r>
              <w:rPr>
                <w:rFonts w:ascii="STSongti-SC-Regular" w:eastAsia="STSongti-SC-Regular" w:hAnsi="Whitney-Book" w:cs="STSongti-SC-Regular" w:hint="eastAsia"/>
                <w:sz w:val="22"/>
                <w:szCs w:val="22"/>
                <w:lang w:val="en-US"/>
              </w:rPr>
              <w:t>向核查机构披露的</w:t>
            </w:r>
            <w:proofErr w:type="spellEnd"/>
          </w:p>
          <w:p w14:paraId="279E2BB9" w14:textId="7A2C1C0C" w:rsidR="00CA2FD4" w:rsidRPr="00E553EB" w:rsidRDefault="0009113A" w:rsidP="0009113A">
            <w:pPr>
              <w:rPr>
                <w:rFonts w:ascii="Calibri" w:hAnsi="Calibri"/>
              </w:rPr>
            </w:pPr>
            <w:proofErr w:type="spellStart"/>
            <w:r>
              <w:rPr>
                <w:rFonts w:ascii="STSongti-SC-Regular" w:eastAsia="STSongti-SC-Regular" w:hAnsi="Whitney-Book" w:cs="STSongti-SC-Regular" w:hint="eastAsia"/>
                <w:sz w:val="22"/>
                <w:szCs w:val="22"/>
                <w:lang w:val="en-US"/>
              </w:rPr>
              <w:t>信息所</w:t>
            </w:r>
            <w:proofErr w:type="spellEnd"/>
            <w:r>
              <w:rPr>
                <w:rFonts w:ascii="STSongti-SC-Regular" w:eastAsia="STSongti-SC-Regular" w:hAnsi="Whitney-Book" w:cs="STSongti-SC-Regular" w:hint="eastAsia"/>
                <w:sz w:val="22"/>
                <w:szCs w:val="22"/>
                <w:lang w:val="en-US"/>
              </w:rPr>
              <w:t>⽰。</w:t>
            </w:r>
          </w:p>
        </w:tc>
        <w:tc>
          <w:tcPr>
            <w:tcW w:w="3685" w:type="dxa"/>
          </w:tcPr>
          <w:p w14:paraId="7A001186" w14:textId="77777777" w:rsidR="00CA2FD4" w:rsidRPr="00E553EB" w:rsidRDefault="00CA2FD4" w:rsidP="000B5FAA">
            <w:pPr>
              <w:rPr>
                <w:rFonts w:ascii="Calibri" w:hAnsi="Calibri"/>
              </w:rPr>
            </w:pPr>
          </w:p>
        </w:tc>
        <w:tc>
          <w:tcPr>
            <w:tcW w:w="1560" w:type="dxa"/>
          </w:tcPr>
          <w:p w14:paraId="6FAD4028" w14:textId="77777777" w:rsidR="00CA2FD4" w:rsidRPr="00E553EB" w:rsidRDefault="00CA2FD4" w:rsidP="000B5FAA">
            <w:pPr>
              <w:rPr>
                <w:rFonts w:ascii="Calibri" w:hAnsi="Calibri"/>
              </w:rPr>
            </w:pPr>
          </w:p>
        </w:tc>
      </w:tr>
      <w:tr w:rsidR="0009113A" w:rsidRPr="00E553EB" w14:paraId="1CA3E51E" w14:textId="77777777" w:rsidTr="008B66C7">
        <w:tc>
          <w:tcPr>
            <w:tcW w:w="5104" w:type="dxa"/>
          </w:tcPr>
          <w:p w14:paraId="6943452A"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5.5. </w:t>
            </w:r>
            <w:proofErr w:type="spellStart"/>
            <w:r>
              <w:rPr>
                <w:rFonts w:ascii="STSongti-SC-Regular" w:eastAsia="STSongti-SC-Regular" w:hAnsi="Whitney-Book" w:cs="STSongti-SC-Regular" w:hint="eastAsia"/>
                <w:sz w:val="22"/>
                <w:szCs w:val="22"/>
                <w:lang w:val="en-US"/>
              </w:rPr>
              <w:t>债券净募集资⾦不得超过指定项⽬和资产的投资总额或在债券发⾏时指定项⽬和资产的公允市</w:t>
            </w:r>
            <w:proofErr w:type="spellEnd"/>
          </w:p>
          <w:p w14:paraId="54C13A84"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proofErr w:type="spellStart"/>
            <w:r>
              <w:rPr>
                <w:rFonts w:ascii="STSongti-SC-Regular" w:eastAsia="STSongti-SC-Regular" w:hAnsi="Whitney-Book" w:cs="STSongti-SC-Regular" w:hint="eastAsia"/>
                <w:sz w:val="22"/>
                <w:szCs w:val="22"/>
                <w:lang w:val="en-US"/>
              </w:rPr>
              <w:t>场价值总和</w:t>
            </w:r>
            <w:proofErr w:type="spellEnd"/>
            <w:r>
              <w:rPr>
                <w:rFonts w:ascii="STSongti-SC-Regular" w:eastAsia="STSongti-SC-Regular" w:hAnsi="Whitney-Book" w:cs="STSongti-SC-Regular" w:hint="eastAsia"/>
                <w:sz w:val="22"/>
                <w:szCs w:val="22"/>
                <w:lang w:val="en-US"/>
              </w:rPr>
              <w:t>。</w:t>
            </w:r>
          </w:p>
          <w:p w14:paraId="13EEC720"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STSongti-SC-Regular" w:eastAsia="STSongti-SC-Regular" w:hAnsi="Whitney-Book" w:cs="STSongti-SC-Regular" w:hint="eastAsia"/>
                <w:sz w:val="22"/>
                <w:szCs w:val="22"/>
                <w:lang w:val="en-US"/>
              </w:rPr>
              <w:t>注：在满⾜条例</w:t>
            </w:r>
            <w:r>
              <w:rPr>
                <w:rFonts w:ascii="Whitney-BookItalic" w:hAnsi="Whitney-BookItalic" w:cs="Whitney-BookItalic"/>
                <w:i/>
                <w:iCs/>
                <w:sz w:val="22"/>
                <w:szCs w:val="22"/>
                <w:lang w:val="en-US"/>
              </w:rPr>
              <w:t xml:space="preserve">5.5 </w:t>
            </w:r>
            <w:proofErr w:type="spellStart"/>
            <w:r>
              <w:rPr>
                <w:rFonts w:ascii="STSongti-SC-Regular" w:eastAsia="STSongti-SC-Regular" w:hAnsi="Whitney-Book" w:cs="STSongti-SC-Regular" w:hint="eastAsia"/>
                <w:sz w:val="22"/>
                <w:szCs w:val="22"/>
                <w:lang w:val="en-US"/>
              </w:rPr>
              <w:t>的情况下，发</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可选择是使⽤指定项⽬和资产的投资额或指定项⽬的资</w:t>
            </w:r>
            <w:proofErr w:type="spellEnd"/>
          </w:p>
          <w:p w14:paraId="5331EC4D" w14:textId="4A59E30D" w:rsidR="0009113A" w:rsidRDefault="0009113A" w:rsidP="0009113A">
            <w:pPr>
              <w:autoSpaceDE w:val="0"/>
              <w:autoSpaceDN w:val="0"/>
              <w:adjustRightInd w:val="0"/>
              <w:rPr>
                <w:rFonts w:ascii="Whitney-Book" w:hAnsi="Whitney-Book" w:cs="Whitney-Book"/>
                <w:sz w:val="22"/>
                <w:szCs w:val="22"/>
                <w:lang w:val="en-US"/>
              </w:rPr>
            </w:pPr>
            <w:proofErr w:type="spellStart"/>
            <w:r>
              <w:rPr>
                <w:rFonts w:ascii="STSongti-SC-Regular" w:eastAsia="STSongti-SC-Regular" w:hAnsi="Whitney-Book" w:cs="STSongti-SC-Regular" w:hint="eastAsia"/>
                <w:sz w:val="22"/>
                <w:szCs w:val="22"/>
                <w:lang w:val="en-US"/>
              </w:rPr>
              <w:t>产的公允市场价值</w:t>
            </w:r>
            <w:proofErr w:type="spellEnd"/>
            <w:r>
              <w:rPr>
                <w:rFonts w:ascii="STSongti-SC-Regular" w:eastAsia="STSongti-SC-Regular" w:hAnsi="Whitney-Book" w:cs="STSongti-SC-Regular" w:hint="eastAsia"/>
                <w:sz w:val="22"/>
                <w:szCs w:val="22"/>
                <w:lang w:val="en-US"/>
              </w:rPr>
              <w:t>。</w:t>
            </w:r>
          </w:p>
        </w:tc>
        <w:tc>
          <w:tcPr>
            <w:tcW w:w="3685" w:type="dxa"/>
          </w:tcPr>
          <w:p w14:paraId="3D432AD4" w14:textId="77777777" w:rsidR="0009113A" w:rsidRPr="00E553EB" w:rsidRDefault="0009113A" w:rsidP="000B5FAA">
            <w:pPr>
              <w:rPr>
                <w:rFonts w:ascii="Calibri" w:hAnsi="Calibri"/>
              </w:rPr>
            </w:pPr>
          </w:p>
        </w:tc>
        <w:tc>
          <w:tcPr>
            <w:tcW w:w="1560" w:type="dxa"/>
          </w:tcPr>
          <w:p w14:paraId="54CECD39" w14:textId="77777777" w:rsidR="0009113A" w:rsidRPr="00E553EB" w:rsidRDefault="0009113A" w:rsidP="000B5FAA">
            <w:pPr>
              <w:rPr>
                <w:rFonts w:ascii="Calibri" w:hAnsi="Calibri"/>
              </w:rPr>
            </w:pPr>
          </w:p>
        </w:tc>
      </w:tr>
    </w:tbl>
    <w:p w14:paraId="74BAEA0E" w14:textId="77777777" w:rsidR="000C1FB7" w:rsidRDefault="000C1FB7"/>
    <w:p w14:paraId="5CDD6C49" w14:textId="77777777" w:rsidR="004C20DE" w:rsidRDefault="004C20DE"/>
    <w:tbl>
      <w:tblPr>
        <w:tblStyle w:val="TableGrid"/>
        <w:tblW w:w="10349" w:type="dxa"/>
        <w:tblInd w:w="-743" w:type="dxa"/>
        <w:tblLook w:val="04A0" w:firstRow="1" w:lastRow="0" w:firstColumn="1" w:lastColumn="0" w:noHBand="0" w:noVBand="1"/>
      </w:tblPr>
      <w:tblGrid>
        <w:gridCol w:w="5104"/>
        <w:gridCol w:w="3404"/>
        <w:gridCol w:w="1841"/>
      </w:tblGrid>
      <w:tr w:rsidR="00356AAB" w14:paraId="36AFCA13" w14:textId="77777777" w:rsidTr="008B66C7">
        <w:trPr>
          <w:trHeight w:val="515"/>
        </w:trPr>
        <w:tc>
          <w:tcPr>
            <w:tcW w:w="10349" w:type="dxa"/>
            <w:gridSpan w:val="3"/>
            <w:shd w:val="clear" w:color="auto" w:fill="99CCFF"/>
          </w:tcPr>
          <w:p w14:paraId="66250EA5" w14:textId="0250E7F8" w:rsidR="00356AAB" w:rsidRDefault="0009113A" w:rsidP="000B5FAA">
            <w:pPr>
              <w:pStyle w:val="TableParagraph"/>
              <w:ind w:right="504"/>
              <w:jc w:val="center"/>
              <w:rPr>
                <w:rFonts w:ascii="Calibri" w:hAnsi="Calibri"/>
                <w:b/>
                <w:color w:val="FFFFFF" w:themeColor="background1"/>
                <w:sz w:val="28"/>
                <w:szCs w:val="28"/>
              </w:rPr>
            </w:pPr>
            <w:r w:rsidRPr="0009113A">
              <w:rPr>
                <w:rFonts w:ascii="Calibri" w:hAnsi="Calibri"/>
                <w:b/>
                <w:color w:val="FFFFFF" w:themeColor="background1"/>
                <w:sz w:val="28"/>
                <w:szCs w:val="28"/>
              </w:rPr>
              <w:t xml:space="preserve">6. </w:t>
            </w:r>
            <w:proofErr w:type="spellStart"/>
            <w:r w:rsidRPr="0009113A">
              <w:rPr>
                <w:rFonts w:ascii="Microsoft JhengHei" w:eastAsia="Microsoft JhengHei" w:hAnsi="Microsoft JhengHei" w:cs="Microsoft JhengHei" w:hint="eastAsia"/>
                <w:b/>
                <w:color w:val="FFFFFF" w:themeColor="background1"/>
                <w:sz w:val="28"/>
                <w:szCs w:val="28"/>
              </w:rPr>
              <w:t>募集资⾦专款专</w:t>
            </w:r>
            <w:proofErr w:type="spellEnd"/>
            <w:r w:rsidRPr="0009113A">
              <w:rPr>
                <w:rFonts w:ascii="Microsoft JhengHei" w:eastAsia="Microsoft JhengHei" w:hAnsi="Microsoft JhengHei" w:cs="Microsoft JhengHei" w:hint="eastAsia"/>
                <w:b/>
                <w:color w:val="FFFFFF" w:themeColor="background1"/>
                <w:sz w:val="28"/>
                <w:szCs w:val="28"/>
              </w:rPr>
              <w:t>⽤</w:t>
            </w:r>
          </w:p>
        </w:tc>
      </w:tr>
      <w:tr w:rsidR="00356AAB" w14:paraId="78D7FB03" w14:textId="77777777" w:rsidTr="008B66C7">
        <w:trPr>
          <w:trHeight w:val="581"/>
        </w:trPr>
        <w:tc>
          <w:tcPr>
            <w:tcW w:w="5104" w:type="dxa"/>
            <w:shd w:val="clear" w:color="auto" w:fill="99CCFF"/>
          </w:tcPr>
          <w:p w14:paraId="10E81798" w14:textId="77777777" w:rsidR="00356AAB" w:rsidRPr="00E56099" w:rsidRDefault="00356AAB" w:rsidP="000B5FAA">
            <w:pPr>
              <w:pStyle w:val="TableParagraph"/>
              <w:tabs>
                <w:tab w:val="left" w:pos="329"/>
              </w:tabs>
              <w:spacing w:line="223" w:lineRule="exact"/>
              <w:jc w:val="center"/>
              <w:rPr>
                <w:rFonts w:ascii="Calibri" w:hAnsi="Calibri"/>
                <w:b/>
                <w:sz w:val="24"/>
                <w:szCs w:val="24"/>
              </w:rPr>
            </w:pPr>
            <w:r w:rsidRPr="00E56099">
              <w:rPr>
                <w:rFonts w:ascii="Calibri" w:hAnsi="Calibri"/>
                <w:b/>
                <w:sz w:val="24"/>
                <w:szCs w:val="24"/>
              </w:rPr>
              <w:t>Climate Bonds Standard Requirement</w:t>
            </w:r>
          </w:p>
        </w:tc>
        <w:tc>
          <w:tcPr>
            <w:tcW w:w="3404" w:type="dxa"/>
            <w:shd w:val="clear" w:color="auto" w:fill="99CCFF"/>
          </w:tcPr>
          <w:p w14:paraId="32DDC9C8" w14:textId="77777777" w:rsidR="00356AAB" w:rsidRPr="00E56099" w:rsidRDefault="00356AAB" w:rsidP="000B5FAA">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Findings </w:t>
            </w:r>
          </w:p>
        </w:tc>
        <w:tc>
          <w:tcPr>
            <w:tcW w:w="1841" w:type="dxa"/>
            <w:shd w:val="clear" w:color="auto" w:fill="99CCFF"/>
          </w:tcPr>
          <w:p w14:paraId="5DF304E8" w14:textId="77777777" w:rsidR="008E4CB5" w:rsidRPr="008E4CB5" w:rsidRDefault="008E4CB5" w:rsidP="008E4CB5">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0192D3E7" w14:textId="77777777" w:rsidR="00356AAB" w:rsidRPr="00E56099" w:rsidRDefault="00356AAB" w:rsidP="000B5FAA">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Met </w:t>
            </w:r>
          </w:p>
        </w:tc>
      </w:tr>
      <w:tr w:rsidR="00356AAB" w:rsidRPr="00E553EB" w14:paraId="645E9E81" w14:textId="77777777" w:rsidTr="008B66C7">
        <w:tc>
          <w:tcPr>
            <w:tcW w:w="5104" w:type="dxa"/>
          </w:tcPr>
          <w:p w14:paraId="1ABB7D94"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6.1. </w:t>
            </w:r>
            <w:proofErr w:type="spellStart"/>
            <w:r>
              <w:rPr>
                <w:rFonts w:ascii="STSongti-SC-Regular" w:eastAsia="STSongti-SC-Regular" w:hAnsi="Whitney-Book" w:cs="STSongti-SC-Regular" w:hint="eastAsia"/>
                <w:sz w:val="22"/>
                <w:szCs w:val="22"/>
                <w:lang w:val="en-US"/>
              </w:rPr>
              <w:t>债券净募集资⾦应划拨</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账户，移</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投资组合，或由发</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通过恰当的⽅式进⾏追踪及归</w:t>
            </w:r>
            <w:proofErr w:type="spellEnd"/>
          </w:p>
          <w:p w14:paraId="018DDFB1" w14:textId="25CD67B1" w:rsidR="00356AAB" w:rsidRPr="00E553EB" w:rsidRDefault="0009113A" w:rsidP="0009113A">
            <w:pPr>
              <w:rPr>
                <w:rFonts w:ascii="Calibri" w:hAnsi="Calibri"/>
              </w:rPr>
            </w:pPr>
            <w:r>
              <w:rPr>
                <w:rFonts w:ascii="STSongti-SC-Regular" w:eastAsia="STSongti-SC-Regular" w:hAnsi="Whitney-Book" w:cs="STSongti-SC-Regular" w:hint="eastAsia"/>
                <w:sz w:val="22"/>
                <w:szCs w:val="22"/>
                <w:lang w:val="en-US"/>
              </w:rPr>
              <w:t>档。</w:t>
            </w:r>
          </w:p>
        </w:tc>
        <w:tc>
          <w:tcPr>
            <w:tcW w:w="3404" w:type="dxa"/>
          </w:tcPr>
          <w:p w14:paraId="3ACB3968" w14:textId="77777777" w:rsidR="00356AAB" w:rsidRPr="00E553EB" w:rsidRDefault="00356AAB" w:rsidP="000B5FAA">
            <w:pPr>
              <w:rPr>
                <w:rFonts w:ascii="Calibri" w:hAnsi="Calibri"/>
              </w:rPr>
            </w:pPr>
          </w:p>
        </w:tc>
        <w:tc>
          <w:tcPr>
            <w:tcW w:w="1841" w:type="dxa"/>
          </w:tcPr>
          <w:p w14:paraId="216615CA" w14:textId="77777777" w:rsidR="00356AAB" w:rsidRPr="00E553EB" w:rsidRDefault="00356AAB" w:rsidP="000B5FAA">
            <w:pPr>
              <w:rPr>
                <w:rFonts w:ascii="Calibri" w:hAnsi="Calibri"/>
              </w:rPr>
            </w:pPr>
          </w:p>
        </w:tc>
      </w:tr>
      <w:tr w:rsidR="003F5B46" w:rsidRPr="00E553EB" w14:paraId="5E830431" w14:textId="77777777" w:rsidTr="008B66C7">
        <w:tc>
          <w:tcPr>
            <w:tcW w:w="5104" w:type="dxa"/>
          </w:tcPr>
          <w:p w14:paraId="12F5E24B"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6.2. </w:t>
            </w:r>
            <w:proofErr w:type="spellStart"/>
            <w:r>
              <w:rPr>
                <w:rFonts w:ascii="STSongti-SC-Regular" w:eastAsia="STSongti-SC-Regular" w:hAnsi="Whitney-Book" w:cs="STSongti-SC-Regular" w:hint="eastAsia"/>
                <w:sz w:val="22"/>
                <w:szCs w:val="22"/>
                <w:lang w:val="en-US"/>
              </w:rPr>
              <w:t>债券存续期内，所追踪的募集资⾦的余额应当随着合格投资或贷款⽀付的进</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相应减少，减</w:t>
            </w:r>
            <w:proofErr w:type="spellEnd"/>
          </w:p>
          <w:p w14:paraId="7DF715BC"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proofErr w:type="spellStart"/>
            <w:r>
              <w:rPr>
                <w:rFonts w:ascii="STSongti-SC-Regular" w:eastAsia="STSongti-SC-Regular" w:hAnsi="Whitney-Book" w:cs="STSongti-SC-Regular" w:hint="eastAsia"/>
                <w:sz w:val="22"/>
                <w:szCs w:val="22"/>
                <w:lang w:val="en-US"/>
              </w:rPr>
              <w:t>少的⾦额应与所进⾏的合格投资和贷款⽀付的⾦额相匹配。在进⾏这些合格投资或⽀付的过程</w:t>
            </w:r>
            <w:proofErr w:type="spellEnd"/>
          </w:p>
          <w:p w14:paraId="0B09B9DF"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proofErr w:type="spellStart"/>
            <w:r>
              <w:rPr>
                <w:rFonts w:ascii="STSongti-SC-Regular" w:eastAsia="STSongti-SC-Regular" w:hAnsi="Whitney-Book" w:cs="STSongti-SC-Regular" w:hint="eastAsia"/>
                <w:sz w:val="22"/>
                <w:szCs w:val="22"/>
                <w:lang w:val="en-US"/>
              </w:rPr>
              <w:t>中，剩余的闲置资⾦应当</w:t>
            </w:r>
            <w:proofErr w:type="spellEnd"/>
            <w:r>
              <w:rPr>
                <w:rFonts w:ascii="STSongti-SC-Regular" w:eastAsia="STSongti-SC-Regular" w:hAnsi="Whitney-Book" w:cs="STSongti-SC-Regular" w:hint="eastAsia"/>
                <w:sz w:val="22"/>
                <w:szCs w:val="22"/>
                <w:lang w:val="en-US"/>
              </w:rPr>
              <w:t>：</w:t>
            </w:r>
          </w:p>
          <w:p w14:paraId="0F2C5B22"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6.2.1. </w:t>
            </w:r>
            <w:proofErr w:type="spellStart"/>
            <w:r>
              <w:rPr>
                <w:rFonts w:ascii="STSongti-SC-Regular" w:eastAsia="STSongti-SC-Regular" w:hAnsi="Whitney-Book" w:cs="STSongti-SC-Regular" w:hint="eastAsia"/>
                <w:sz w:val="22"/>
                <w:szCs w:val="22"/>
                <w:lang w:val="en-US"/>
              </w:rPr>
              <w:t>以现⾦或现⾦等价物暂时性投资⼯具的形式持有，执⾏财务职能；或</w:t>
            </w:r>
            <w:proofErr w:type="spellEnd"/>
          </w:p>
          <w:p w14:paraId="33B0E6E4"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6.2.2. </w:t>
            </w:r>
            <w:proofErr w:type="spellStart"/>
            <w:r>
              <w:rPr>
                <w:rFonts w:ascii="STSongti-SC-Regular" w:eastAsia="STSongti-SC-Regular" w:hAnsi="Whitney-Book" w:cs="STSongti-SC-Regular" w:hint="eastAsia"/>
                <w:sz w:val="22"/>
                <w:szCs w:val="22"/>
                <w:lang w:val="en-US"/>
              </w:rPr>
              <w:t>以暂时性投资⼯具的形式持有，但不能投资于不符合低碳和⽓候适应型经济的碳密集型</w:t>
            </w:r>
            <w:proofErr w:type="spellEnd"/>
          </w:p>
          <w:p w14:paraId="249693DE"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STSongti-SC-Regular" w:eastAsia="STSongti-SC-Regular" w:hAnsi="Whitney-Book" w:cs="STSongti-SC-Regular" w:hint="eastAsia"/>
                <w:sz w:val="22"/>
                <w:szCs w:val="22"/>
                <w:lang w:val="en-US"/>
              </w:rPr>
              <w:t>项⽬；或</w:t>
            </w:r>
          </w:p>
          <w:p w14:paraId="50078C54" w14:textId="3FB379B9" w:rsidR="003F5B46" w:rsidRPr="003F5B46" w:rsidRDefault="0009113A" w:rsidP="0009113A">
            <w:pPr>
              <w:autoSpaceDE w:val="0"/>
              <w:autoSpaceDN w:val="0"/>
              <w:adjustRightInd w:val="0"/>
              <w:rPr>
                <w:rFonts w:ascii="Calibri" w:hAnsi="Calibri"/>
              </w:rPr>
            </w:pPr>
            <w:r>
              <w:rPr>
                <w:rFonts w:ascii="Whitney-Book" w:hAnsi="Whitney-Book" w:cs="Whitney-Book"/>
                <w:sz w:val="22"/>
                <w:szCs w:val="22"/>
                <w:lang w:val="en-US"/>
              </w:rPr>
              <w:lastRenderedPageBreak/>
              <w:t xml:space="preserve">6.2.3. </w:t>
            </w:r>
            <w:proofErr w:type="spellStart"/>
            <w:r>
              <w:rPr>
                <w:rFonts w:ascii="STSongti-SC-Regular" w:eastAsia="STSongti-SC-Regular" w:hAnsi="Whitney-Book" w:cs="STSongti-SC-Regular" w:hint="eastAsia"/>
                <w:sz w:val="22"/>
                <w:szCs w:val="22"/>
                <w:lang w:val="en-US"/>
              </w:rPr>
              <w:t>暂时⽤于减轻周期性负债，之后重新划拨给指定项⽬和资产的投资或债务偿付</w:t>
            </w:r>
            <w:proofErr w:type="spellEnd"/>
            <w:r>
              <w:rPr>
                <w:rFonts w:ascii="STSongti-SC-Regular" w:eastAsia="STSongti-SC-Regular" w:hAnsi="Whitney-Book" w:cs="STSongti-SC-Regular" w:hint="eastAsia"/>
                <w:sz w:val="22"/>
                <w:szCs w:val="22"/>
                <w:lang w:val="en-US"/>
              </w:rPr>
              <w:t>。</w:t>
            </w:r>
          </w:p>
        </w:tc>
        <w:tc>
          <w:tcPr>
            <w:tcW w:w="3404" w:type="dxa"/>
          </w:tcPr>
          <w:p w14:paraId="4C9F630F" w14:textId="77777777" w:rsidR="003F5B46" w:rsidRPr="00E553EB" w:rsidRDefault="003F5B46" w:rsidP="000B5FAA">
            <w:pPr>
              <w:rPr>
                <w:rFonts w:ascii="Calibri" w:hAnsi="Calibri"/>
              </w:rPr>
            </w:pPr>
          </w:p>
        </w:tc>
        <w:tc>
          <w:tcPr>
            <w:tcW w:w="1841" w:type="dxa"/>
          </w:tcPr>
          <w:p w14:paraId="19A8098C" w14:textId="77777777" w:rsidR="003F5B46" w:rsidRPr="00E553EB" w:rsidRDefault="003F5B46" w:rsidP="000B5FAA">
            <w:pPr>
              <w:rPr>
                <w:rFonts w:ascii="Calibri" w:hAnsi="Calibri"/>
              </w:rPr>
            </w:pPr>
          </w:p>
        </w:tc>
      </w:tr>
      <w:tr w:rsidR="003F5B46" w:rsidRPr="00E553EB" w14:paraId="6424393F" w14:textId="77777777" w:rsidTr="008B66C7">
        <w:tc>
          <w:tcPr>
            <w:tcW w:w="5104" w:type="dxa"/>
          </w:tcPr>
          <w:p w14:paraId="3DD54D6B"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6.3. </w:t>
            </w:r>
            <w:proofErr w:type="spellStart"/>
            <w:r>
              <w:rPr>
                <w:rFonts w:ascii="STSongti-SC-Regular" w:eastAsia="STSongti-SC-Regular" w:hAnsi="Whitney-Book" w:cs="STSongti-SC-Regular" w:hint="eastAsia"/>
                <w:sz w:val="22"/>
                <w:szCs w:val="22"/>
                <w:lang w:val="en-US"/>
              </w:rPr>
              <w:t>在不可抗⼒存在时，发</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可向⽓候债券标准委员会申请延长资产投放期限。延长期间，闲置</w:t>
            </w:r>
            <w:proofErr w:type="spellEnd"/>
          </w:p>
          <w:p w14:paraId="4E70ECB0" w14:textId="3B07C947" w:rsidR="003F5B46" w:rsidRDefault="0009113A" w:rsidP="0009113A">
            <w:pPr>
              <w:rPr>
                <w:rFonts w:ascii="Calibri" w:hAnsi="Calibri"/>
              </w:rPr>
            </w:pPr>
            <w:r>
              <w:rPr>
                <w:rFonts w:ascii="STSongti-SC-Regular" w:eastAsia="STSongti-SC-Regular" w:hAnsi="Whitney-Book" w:cs="STSongti-SC-Regular" w:hint="eastAsia"/>
                <w:sz w:val="22"/>
                <w:szCs w:val="22"/>
                <w:lang w:val="en-US"/>
              </w:rPr>
              <w:t>资⾦应遵从条款</w:t>
            </w:r>
            <w:r>
              <w:rPr>
                <w:rFonts w:ascii="Whitney-Book" w:hAnsi="Whitney-Book" w:cs="Whitney-Book"/>
                <w:sz w:val="22"/>
                <w:szCs w:val="22"/>
                <w:lang w:val="en-US"/>
              </w:rPr>
              <w:t>5.2</w:t>
            </w:r>
            <w:r>
              <w:rPr>
                <w:rFonts w:ascii="STSongti-SC-Regular" w:eastAsia="STSongti-SC-Regular" w:hAnsi="Whitney-Book" w:cs="STSongti-SC-Regular" w:hint="eastAsia"/>
                <w:sz w:val="22"/>
                <w:szCs w:val="22"/>
                <w:lang w:val="en-US"/>
              </w:rPr>
              <w:t>。</w:t>
            </w:r>
          </w:p>
        </w:tc>
        <w:tc>
          <w:tcPr>
            <w:tcW w:w="3404" w:type="dxa"/>
          </w:tcPr>
          <w:p w14:paraId="5D34FB2B" w14:textId="77777777" w:rsidR="003F5B46" w:rsidRPr="00E553EB" w:rsidRDefault="003F5B46" w:rsidP="000B5FAA">
            <w:pPr>
              <w:rPr>
                <w:rFonts w:ascii="Calibri" w:hAnsi="Calibri"/>
              </w:rPr>
            </w:pPr>
          </w:p>
        </w:tc>
        <w:tc>
          <w:tcPr>
            <w:tcW w:w="1841" w:type="dxa"/>
          </w:tcPr>
          <w:p w14:paraId="54949BA7" w14:textId="77777777" w:rsidR="003F5B46" w:rsidRPr="00E553EB" w:rsidRDefault="003F5B46" w:rsidP="000B5FAA">
            <w:pPr>
              <w:rPr>
                <w:rFonts w:ascii="Calibri" w:hAnsi="Calibri"/>
              </w:rPr>
            </w:pPr>
          </w:p>
        </w:tc>
      </w:tr>
    </w:tbl>
    <w:p w14:paraId="32D02C1F" w14:textId="773961C6" w:rsidR="00356AAB" w:rsidRDefault="00356AAB"/>
    <w:p w14:paraId="6F68D1D4" w14:textId="519ABD07" w:rsidR="00356AAB" w:rsidRDefault="00356AAB"/>
    <w:tbl>
      <w:tblPr>
        <w:tblStyle w:val="TableGrid"/>
        <w:tblW w:w="10349" w:type="dxa"/>
        <w:tblInd w:w="-743" w:type="dxa"/>
        <w:tblLook w:val="04A0" w:firstRow="1" w:lastRow="0" w:firstColumn="1" w:lastColumn="0" w:noHBand="0" w:noVBand="1"/>
      </w:tblPr>
      <w:tblGrid>
        <w:gridCol w:w="5104"/>
        <w:gridCol w:w="3404"/>
        <w:gridCol w:w="1841"/>
      </w:tblGrid>
      <w:tr w:rsidR="0009113A" w14:paraId="09781582" w14:textId="77777777" w:rsidTr="008200E1">
        <w:trPr>
          <w:trHeight w:val="515"/>
        </w:trPr>
        <w:tc>
          <w:tcPr>
            <w:tcW w:w="10349" w:type="dxa"/>
            <w:gridSpan w:val="3"/>
            <w:shd w:val="clear" w:color="auto" w:fill="99CCFF"/>
          </w:tcPr>
          <w:p w14:paraId="55F3EA80" w14:textId="49F4306C" w:rsidR="0009113A" w:rsidRDefault="0009113A" w:rsidP="008200E1">
            <w:pPr>
              <w:pStyle w:val="TableParagraph"/>
              <w:ind w:right="504"/>
              <w:jc w:val="center"/>
              <w:rPr>
                <w:rFonts w:ascii="Calibri" w:hAnsi="Calibri"/>
                <w:b/>
                <w:color w:val="FFFFFF" w:themeColor="background1"/>
                <w:sz w:val="28"/>
                <w:szCs w:val="28"/>
              </w:rPr>
            </w:pPr>
            <w:r w:rsidRPr="0009113A">
              <w:rPr>
                <w:rFonts w:ascii="Calibri" w:hAnsi="Calibri" w:hint="eastAsia"/>
                <w:b/>
                <w:color w:val="FFFFFF" w:themeColor="background1"/>
                <w:sz w:val="28"/>
                <w:szCs w:val="28"/>
              </w:rPr>
              <w:t xml:space="preserve">7. </w:t>
            </w:r>
            <w:proofErr w:type="spellStart"/>
            <w:r w:rsidRPr="0009113A">
              <w:rPr>
                <w:rFonts w:ascii="Microsoft JhengHei" w:eastAsia="Microsoft JhengHei" w:hAnsi="Microsoft JhengHei" w:cs="Microsoft JhengHei" w:hint="eastAsia"/>
                <w:b/>
                <w:color w:val="FFFFFF" w:themeColor="background1"/>
                <w:sz w:val="28"/>
                <w:szCs w:val="28"/>
              </w:rPr>
              <w:t>保密性</w:t>
            </w:r>
            <w:proofErr w:type="spellEnd"/>
          </w:p>
        </w:tc>
      </w:tr>
      <w:tr w:rsidR="0009113A" w14:paraId="0ABF3C7B" w14:textId="77777777" w:rsidTr="008200E1">
        <w:trPr>
          <w:trHeight w:val="581"/>
        </w:trPr>
        <w:tc>
          <w:tcPr>
            <w:tcW w:w="5104" w:type="dxa"/>
            <w:shd w:val="clear" w:color="auto" w:fill="99CCFF"/>
          </w:tcPr>
          <w:p w14:paraId="5EDDCA02"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sidRPr="00E56099">
              <w:rPr>
                <w:rFonts w:ascii="Calibri" w:hAnsi="Calibri"/>
                <w:b/>
                <w:sz w:val="24"/>
                <w:szCs w:val="24"/>
              </w:rPr>
              <w:t>Climate Bonds Standard Requirement</w:t>
            </w:r>
          </w:p>
        </w:tc>
        <w:tc>
          <w:tcPr>
            <w:tcW w:w="3404" w:type="dxa"/>
            <w:shd w:val="clear" w:color="auto" w:fill="99CCFF"/>
          </w:tcPr>
          <w:p w14:paraId="7D9B87E3"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Findings </w:t>
            </w:r>
          </w:p>
        </w:tc>
        <w:tc>
          <w:tcPr>
            <w:tcW w:w="1841" w:type="dxa"/>
            <w:shd w:val="clear" w:color="auto" w:fill="99CCFF"/>
          </w:tcPr>
          <w:p w14:paraId="52B91583" w14:textId="77777777" w:rsidR="0009113A" w:rsidRPr="008E4CB5" w:rsidRDefault="0009113A" w:rsidP="008200E1">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217B1AC8"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Met </w:t>
            </w:r>
          </w:p>
        </w:tc>
      </w:tr>
      <w:tr w:rsidR="0009113A" w:rsidRPr="00E553EB" w14:paraId="51528B76" w14:textId="77777777" w:rsidTr="008200E1">
        <w:tc>
          <w:tcPr>
            <w:tcW w:w="5104" w:type="dxa"/>
          </w:tcPr>
          <w:p w14:paraId="5ABDE5DB" w14:textId="78950F5D"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7.1. </w:t>
            </w:r>
            <w:proofErr w:type="spellStart"/>
            <w:r>
              <w:rPr>
                <w:rFonts w:ascii="STSongti-SC-Regular" w:eastAsia="STSongti-SC-Regular" w:hAnsi="Whitney-Book" w:cs="STSongti-SC-Regular" w:hint="eastAsia"/>
                <w:sz w:val="22"/>
                <w:szCs w:val="22"/>
                <w:lang w:val="en-US"/>
              </w:rPr>
              <w:t>有关指定项⽬和资产的信息应提供给核查机构，继⽽递交给⽓候债券标准委员会，以评估其是否符合⽓候债券标准</w:t>
            </w:r>
            <w:proofErr w:type="spellEnd"/>
            <w:r>
              <w:rPr>
                <w:rFonts w:ascii="STSongti-SC-Regular" w:eastAsia="STSongti-SC-Regular" w:hAnsi="Whitney-Book" w:cs="STSongti-SC-Regular" w:hint="eastAsia"/>
                <w:sz w:val="22"/>
                <w:szCs w:val="22"/>
                <w:lang w:val="en-US"/>
              </w:rPr>
              <w:t>。</w:t>
            </w:r>
          </w:p>
          <w:p w14:paraId="79E5D549" w14:textId="53CCF30D" w:rsidR="0009113A" w:rsidRPr="00E553EB" w:rsidRDefault="0009113A" w:rsidP="0009113A">
            <w:pPr>
              <w:autoSpaceDE w:val="0"/>
              <w:autoSpaceDN w:val="0"/>
              <w:adjustRightInd w:val="0"/>
              <w:rPr>
                <w:rFonts w:ascii="Calibri" w:hAnsi="Calibri"/>
              </w:rPr>
            </w:pPr>
            <w:proofErr w:type="spellStart"/>
            <w:r>
              <w:rPr>
                <w:rFonts w:ascii="STSongti-SC-Regular" w:eastAsia="STSongti-SC-Regular" w:hAnsi="Whitney-Book" w:cs="STSongti-SC-Regular" w:hint="eastAsia"/>
                <w:sz w:val="22"/>
                <w:szCs w:val="22"/>
                <w:lang w:val="en-US"/>
              </w:rPr>
              <w:t>注：披露给核查机构和⽓候债券标准委员会的信息可能在必要情况下根据指定项⽬和资产的持有者的要求受到保密协议的约束</w:t>
            </w:r>
            <w:proofErr w:type="spellEnd"/>
            <w:r>
              <w:rPr>
                <w:rFonts w:ascii="STSongti-SC-Regular" w:eastAsia="STSongti-SC-Regular" w:hAnsi="Whitney-Book" w:cs="STSongti-SC-Regular" w:hint="eastAsia"/>
                <w:sz w:val="22"/>
                <w:szCs w:val="22"/>
                <w:lang w:val="en-US"/>
              </w:rPr>
              <w:t>。</w:t>
            </w:r>
          </w:p>
        </w:tc>
        <w:tc>
          <w:tcPr>
            <w:tcW w:w="3404" w:type="dxa"/>
          </w:tcPr>
          <w:p w14:paraId="01344464" w14:textId="77777777" w:rsidR="0009113A" w:rsidRPr="00E553EB" w:rsidRDefault="0009113A" w:rsidP="008200E1">
            <w:pPr>
              <w:rPr>
                <w:rFonts w:ascii="Calibri" w:hAnsi="Calibri"/>
              </w:rPr>
            </w:pPr>
          </w:p>
        </w:tc>
        <w:tc>
          <w:tcPr>
            <w:tcW w:w="1841" w:type="dxa"/>
          </w:tcPr>
          <w:p w14:paraId="4D304EF9" w14:textId="77777777" w:rsidR="0009113A" w:rsidRPr="00E553EB" w:rsidRDefault="0009113A" w:rsidP="008200E1">
            <w:pPr>
              <w:rPr>
                <w:rFonts w:ascii="Calibri" w:hAnsi="Calibri"/>
              </w:rPr>
            </w:pPr>
          </w:p>
        </w:tc>
      </w:tr>
      <w:tr w:rsidR="0009113A" w:rsidRPr="00E553EB" w14:paraId="7D7B4E02" w14:textId="77777777" w:rsidTr="008200E1">
        <w:tc>
          <w:tcPr>
            <w:tcW w:w="5104" w:type="dxa"/>
          </w:tcPr>
          <w:p w14:paraId="5AB4B3F7"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7.2. </w:t>
            </w:r>
            <w:r>
              <w:rPr>
                <w:rFonts w:ascii="STSongti-SC-Regular" w:eastAsia="STSongti-SC-Regular" w:hAnsi="Whitney-Book" w:cs="STSongti-SC-Regular" w:hint="eastAsia"/>
                <w:sz w:val="22"/>
                <w:szCs w:val="22"/>
                <w:lang w:val="en-US"/>
              </w:rPr>
              <w:t>发⾏⼈</w:t>
            </w:r>
            <w:proofErr w:type="spellStart"/>
            <w:r>
              <w:rPr>
                <w:rFonts w:ascii="STSongti-SC-Regular" w:eastAsia="STSongti-SC-Regular" w:hAnsi="Whitney-Book" w:cs="STSongti-SC-Regular" w:hint="eastAsia"/>
                <w:sz w:val="22"/>
                <w:szCs w:val="22"/>
                <w:lang w:val="en-US"/>
              </w:rPr>
              <w:t>应向市场披露债券以及指定项⽬和资产的有关信息</w:t>
            </w:r>
            <w:proofErr w:type="spellEnd"/>
            <w:r>
              <w:rPr>
                <w:rFonts w:ascii="STSongti-SC-Regular" w:eastAsia="STSongti-SC-Regular" w:hAnsi="Whitney-Book" w:cs="STSongti-SC-Regular" w:hint="eastAsia"/>
                <w:sz w:val="22"/>
                <w:szCs w:val="22"/>
                <w:lang w:val="en-US"/>
              </w:rPr>
              <w:t>。</w:t>
            </w:r>
          </w:p>
          <w:p w14:paraId="0891FD03" w14:textId="7496AF38" w:rsidR="0009113A" w:rsidRDefault="0009113A" w:rsidP="0009113A">
            <w:pPr>
              <w:autoSpaceDE w:val="0"/>
              <w:autoSpaceDN w:val="0"/>
              <w:adjustRightInd w:val="0"/>
              <w:rPr>
                <w:rFonts w:ascii="Whitney-Book" w:hAnsi="Whitney-Book" w:cs="Whitney-Book"/>
                <w:sz w:val="22"/>
                <w:szCs w:val="22"/>
                <w:lang w:val="en-US"/>
              </w:rPr>
            </w:pPr>
            <w:proofErr w:type="spellStart"/>
            <w:r>
              <w:rPr>
                <w:rFonts w:ascii="STSongti-SC-Regular" w:eastAsia="STSongti-SC-Regular" w:hAnsi="Whitney-Book" w:cs="STSongti-SC-Regular" w:hint="eastAsia"/>
                <w:sz w:val="22"/>
                <w:szCs w:val="22"/>
                <w:lang w:val="en-US"/>
              </w:rPr>
              <w:t>注：若发</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具备关于指定项⽬和资产或债券其它</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的保密协议，针对市场的信息披露应符合保密协议的要求</w:t>
            </w:r>
            <w:proofErr w:type="spellEnd"/>
            <w:r>
              <w:rPr>
                <w:rFonts w:ascii="STSongti-SC-Regular" w:eastAsia="STSongti-SC-Regular" w:hAnsi="Whitney-Book" w:cs="STSongti-SC-Regular" w:hint="eastAsia"/>
                <w:sz w:val="22"/>
                <w:szCs w:val="22"/>
                <w:lang w:val="en-US"/>
              </w:rPr>
              <w:t>。</w:t>
            </w:r>
          </w:p>
        </w:tc>
        <w:tc>
          <w:tcPr>
            <w:tcW w:w="3404" w:type="dxa"/>
          </w:tcPr>
          <w:p w14:paraId="63A4207F" w14:textId="77777777" w:rsidR="0009113A" w:rsidRPr="00E553EB" w:rsidRDefault="0009113A" w:rsidP="008200E1">
            <w:pPr>
              <w:rPr>
                <w:rFonts w:ascii="Calibri" w:hAnsi="Calibri"/>
              </w:rPr>
            </w:pPr>
          </w:p>
        </w:tc>
        <w:tc>
          <w:tcPr>
            <w:tcW w:w="1841" w:type="dxa"/>
          </w:tcPr>
          <w:p w14:paraId="2A7FA21F" w14:textId="77777777" w:rsidR="0009113A" w:rsidRPr="00E553EB" w:rsidRDefault="0009113A" w:rsidP="008200E1">
            <w:pPr>
              <w:rPr>
                <w:rFonts w:ascii="Calibri" w:hAnsi="Calibri"/>
              </w:rPr>
            </w:pPr>
          </w:p>
        </w:tc>
      </w:tr>
    </w:tbl>
    <w:p w14:paraId="3852A796" w14:textId="6EF5884B" w:rsidR="0009113A" w:rsidRDefault="0009113A"/>
    <w:p w14:paraId="5C7A95B6" w14:textId="77777777" w:rsidR="0009113A" w:rsidRDefault="0009113A"/>
    <w:tbl>
      <w:tblPr>
        <w:tblStyle w:val="TableGrid"/>
        <w:tblW w:w="10349" w:type="dxa"/>
        <w:tblInd w:w="-743" w:type="dxa"/>
        <w:tblLook w:val="04A0" w:firstRow="1" w:lastRow="0" w:firstColumn="1" w:lastColumn="0" w:noHBand="0" w:noVBand="1"/>
      </w:tblPr>
      <w:tblGrid>
        <w:gridCol w:w="5104"/>
        <w:gridCol w:w="3404"/>
        <w:gridCol w:w="1841"/>
      </w:tblGrid>
      <w:tr w:rsidR="0009113A" w14:paraId="1F645FAA" w14:textId="77777777" w:rsidTr="008200E1">
        <w:trPr>
          <w:trHeight w:val="515"/>
        </w:trPr>
        <w:tc>
          <w:tcPr>
            <w:tcW w:w="10349" w:type="dxa"/>
            <w:gridSpan w:val="3"/>
            <w:shd w:val="clear" w:color="auto" w:fill="99CCFF"/>
          </w:tcPr>
          <w:p w14:paraId="1AD95A28" w14:textId="24E05A24" w:rsidR="0009113A" w:rsidRDefault="0009113A" w:rsidP="008200E1">
            <w:pPr>
              <w:pStyle w:val="TableParagraph"/>
              <w:ind w:right="504"/>
              <w:jc w:val="center"/>
              <w:rPr>
                <w:rFonts w:ascii="Calibri" w:hAnsi="Calibri"/>
                <w:b/>
                <w:color w:val="FFFFFF" w:themeColor="background1"/>
                <w:sz w:val="28"/>
                <w:szCs w:val="28"/>
              </w:rPr>
            </w:pPr>
            <w:r w:rsidRPr="0009113A">
              <w:rPr>
                <w:rFonts w:ascii="Calibri" w:hAnsi="Calibri"/>
                <w:b/>
                <w:color w:val="FFFFFF" w:themeColor="background1"/>
                <w:sz w:val="28"/>
                <w:szCs w:val="28"/>
              </w:rPr>
              <w:t xml:space="preserve">8. </w:t>
            </w:r>
            <w:proofErr w:type="spellStart"/>
            <w:r w:rsidRPr="0009113A">
              <w:rPr>
                <w:rFonts w:ascii="Microsoft JhengHei" w:eastAsia="Microsoft JhengHei" w:hAnsi="Microsoft JhengHei" w:cs="Microsoft JhengHei" w:hint="eastAsia"/>
                <w:b/>
                <w:color w:val="FFFFFF" w:themeColor="background1"/>
                <w:sz w:val="28"/>
                <w:szCs w:val="28"/>
              </w:rPr>
              <w:t>报告</w:t>
            </w:r>
            <w:proofErr w:type="spellEnd"/>
          </w:p>
        </w:tc>
      </w:tr>
      <w:tr w:rsidR="0009113A" w14:paraId="3AEEDA49" w14:textId="77777777" w:rsidTr="008200E1">
        <w:trPr>
          <w:trHeight w:val="581"/>
        </w:trPr>
        <w:tc>
          <w:tcPr>
            <w:tcW w:w="5104" w:type="dxa"/>
            <w:shd w:val="clear" w:color="auto" w:fill="99CCFF"/>
          </w:tcPr>
          <w:p w14:paraId="68B6B9E6"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sidRPr="00E56099">
              <w:rPr>
                <w:rFonts w:ascii="Calibri" w:hAnsi="Calibri"/>
                <w:b/>
                <w:sz w:val="24"/>
                <w:szCs w:val="24"/>
              </w:rPr>
              <w:t>Climate Bonds Standard Requirement</w:t>
            </w:r>
          </w:p>
        </w:tc>
        <w:tc>
          <w:tcPr>
            <w:tcW w:w="3404" w:type="dxa"/>
            <w:shd w:val="clear" w:color="auto" w:fill="99CCFF"/>
          </w:tcPr>
          <w:p w14:paraId="45068EC9"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Findings </w:t>
            </w:r>
          </w:p>
        </w:tc>
        <w:tc>
          <w:tcPr>
            <w:tcW w:w="1841" w:type="dxa"/>
            <w:shd w:val="clear" w:color="auto" w:fill="99CCFF"/>
          </w:tcPr>
          <w:p w14:paraId="27A093E1" w14:textId="77777777" w:rsidR="0009113A" w:rsidRPr="008E4CB5" w:rsidRDefault="0009113A" w:rsidP="008200E1">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5655F6EE"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Met </w:t>
            </w:r>
          </w:p>
        </w:tc>
      </w:tr>
      <w:tr w:rsidR="0009113A" w:rsidRPr="00E553EB" w14:paraId="1092E8B1" w14:textId="77777777" w:rsidTr="008200E1">
        <w:tc>
          <w:tcPr>
            <w:tcW w:w="5104" w:type="dxa"/>
          </w:tcPr>
          <w:p w14:paraId="2ECF2D0F"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8.1.1. </w:t>
            </w:r>
            <w:proofErr w:type="spellStart"/>
            <w:r>
              <w:rPr>
                <w:rFonts w:ascii="STSongti-SC-Regular" w:eastAsia="STSongti-SC-Regular" w:hAnsi="Whitney-Book" w:cs="STSongti-SC-Regular" w:hint="eastAsia"/>
                <w:sz w:val="22"/>
                <w:szCs w:val="22"/>
                <w:lang w:val="en-US"/>
              </w:rPr>
              <w:t>在指定项⽬和资产的环境效益</w:t>
            </w:r>
            <w:proofErr w:type="spellEnd"/>
            <w:r>
              <w:rPr>
                <w:rFonts w:ascii="STSongti-SC-Regular" w:eastAsia="STSongti-SC-Regular" w:hAnsi="Whitney-Book" w:cs="STSongti-SC-Regular" w:hint="eastAsia"/>
                <w:sz w:val="22"/>
                <w:szCs w:val="22"/>
                <w:lang w:val="en-US"/>
              </w:rPr>
              <w:t>⽅⾯，发⾏⼈</w:t>
            </w:r>
            <w:proofErr w:type="spellStart"/>
            <w:r>
              <w:rPr>
                <w:rFonts w:ascii="STSongti-SC-Regular" w:eastAsia="STSongti-SC-Regular" w:hAnsi="Whitney-Book" w:cs="STSongti-SC-Regular" w:hint="eastAsia"/>
                <w:sz w:val="22"/>
                <w:szCs w:val="22"/>
                <w:lang w:val="en-US"/>
              </w:rPr>
              <w:t>应使⽤定性绩效指标，或在可⾏情况下使⽤定</w:t>
            </w:r>
            <w:proofErr w:type="spellEnd"/>
          </w:p>
          <w:p w14:paraId="5D006207"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proofErr w:type="spellStart"/>
            <w:proofErr w:type="gramStart"/>
            <w:r>
              <w:rPr>
                <w:rFonts w:ascii="STSongti-SC-Regular" w:eastAsia="STSongti-SC-Regular" w:hAnsi="Whitney-Book" w:cs="STSongti-SC-Regular" w:hint="eastAsia"/>
                <w:sz w:val="22"/>
                <w:szCs w:val="22"/>
                <w:lang w:val="en-US"/>
              </w:rPr>
              <w:t>量绩效指标</w:t>
            </w:r>
            <w:proofErr w:type="spellEnd"/>
            <w:r>
              <w:rPr>
                <w:rFonts w:ascii="STSongti-SC-Regular" w:eastAsia="STSongti-SC-Regular" w:hAnsi="Whitney-Book" w:cs="STSongti-SC-Regular" w:hint="eastAsia"/>
                <w:sz w:val="22"/>
                <w:szCs w:val="22"/>
                <w:lang w:val="en-US"/>
              </w:rPr>
              <w:t>；</w:t>
            </w:r>
            <w:proofErr w:type="gramEnd"/>
          </w:p>
          <w:p w14:paraId="72BD8E9E"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8.1.2. </w:t>
            </w:r>
            <w:r>
              <w:rPr>
                <w:rFonts w:ascii="STSongti-SC-Regular" w:eastAsia="STSongti-SC-Regular" w:hAnsi="Whitney-Book" w:cs="STSongti-SC-Regular" w:hint="eastAsia"/>
                <w:sz w:val="22"/>
                <w:szCs w:val="22"/>
                <w:lang w:val="en-US"/>
              </w:rPr>
              <w:t>发⾏⼈</w:t>
            </w:r>
            <w:proofErr w:type="spellStart"/>
            <w:r>
              <w:rPr>
                <w:rFonts w:ascii="STSongti-SC-Regular" w:eastAsia="STSongti-SC-Regular" w:hAnsi="Whitney-Book" w:cs="STSongti-SC-Regular" w:hint="eastAsia"/>
                <w:sz w:val="22"/>
                <w:szCs w:val="22"/>
                <w:lang w:val="en-US"/>
              </w:rPr>
              <w:t>应披露准备绩效指标和度量的⽅</w:t>
            </w:r>
            <w:proofErr w:type="gramStart"/>
            <w:r>
              <w:rPr>
                <w:rFonts w:ascii="STSongti-SC-Regular" w:eastAsia="STSongti-SC-Regular" w:hAnsi="Whitney-Book" w:cs="STSongti-SC-Regular" w:hint="eastAsia"/>
                <w:sz w:val="22"/>
                <w:szCs w:val="22"/>
                <w:lang w:val="en-US"/>
              </w:rPr>
              <w:t>法及主要隐含假设</w:t>
            </w:r>
            <w:proofErr w:type="spellEnd"/>
            <w:r>
              <w:rPr>
                <w:rFonts w:ascii="STSongti-SC-Regular" w:eastAsia="STSongti-SC-Regular" w:hAnsi="Whitney-Book" w:cs="STSongti-SC-Regular" w:hint="eastAsia"/>
                <w:sz w:val="22"/>
                <w:szCs w:val="22"/>
                <w:lang w:val="en-US"/>
              </w:rPr>
              <w:t>；</w:t>
            </w:r>
            <w:proofErr w:type="gramEnd"/>
          </w:p>
          <w:p w14:paraId="6D1528B3"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8.1.3. </w:t>
            </w:r>
            <w:proofErr w:type="spellStart"/>
            <w:r>
              <w:rPr>
                <w:rFonts w:ascii="STSongti-SC-Regular" w:eastAsia="STSongti-SC-Regular" w:hAnsi="Whitney-Book" w:cs="STSongti-SC-Regular" w:hint="eastAsia"/>
                <w:sz w:val="22"/>
                <w:szCs w:val="22"/>
                <w:lang w:val="en-US"/>
              </w:rPr>
              <w:t>在指定项⽬和资产可披露的细节受到保密协议、竞争考量或标的项⽬较多的约束下，发</w:t>
            </w:r>
            <w:proofErr w:type="spellEnd"/>
            <w:r>
              <w:rPr>
                <w:rFonts w:ascii="STSongti-SC-Regular" w:eastAsia="STSongti-SC-Regular" w:hAnsi="Whitney-Book" w:cs="STSongti-SC-Regular" w:hint="eastAsia"/>
                <w:sz w:val="22"/>
                <w:szCs w:val="22"/>
                <w:lang w:val="en-US"/>
              </w:rPr>
              <w:t>⾏</w:t>
            </w:r>
          </w:p>
          <w:p w14:paraId="5FC74B0B"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STSongti-SC-Regular" w:eastAsia="STSongti-SC-Regular" w:hAnsi="Whitney-Book" w:cs="STSongti-SC-Regular" w:hint="eastAsia"/>
                <w:sz w:val="22"/>
                <w:szCs w:val="22"/>
                <w:lang w:val="en-US"/>
              </w:rPr>
              <w:t>⼈应按照条款</w:t>
            </w:r>
            <w:r>
              <w:rPr>
                <w:rFonts w:ascii="Whitney-Book" w:hAnsi="Whitney-Book" w:cs="Whitney-Book"/>
                <w:sz w:val="22"/>
                <w:szCs w:val="22"/>
                <w:lang w:val="en-US"/>
              </w:rPr>
              <w:t xml:space="preserve">9.1 </w:t>
            </w:r>
            <w:proofErr w:type="spellStart"/>
            <w:r>
              <w:rPr>
                <w:rFonts w:ascii="STSongti-SC-Regular" w:eastAsia="STSongti-SC-Regular" w:hAnsi="Whitney-Book" w:cs="STSongti-SC-Regular" w:hint="eastAsia"/>
                <w:sz w:val="22"/>
                <w:szCs w:val="22"/>
                <w:lang w:val="en-US"/>
              </w:rPr>
              <w:t>所⽰披露指定项⽬和资产所属的投资领域相关信息</w:t>
            </w:r>
            <w:proofErr w:type="spellEnd"/>
            <w:r>
              <w:rPr>
                <w:rFonts w:ascii="STSongti-SC-Regular" w:eastAsia="STSongti-SC-Regular" w:hAnsi="Whitney-Book" w:cs="STSongti-SC-Regular" w:hint="eastAsia"/>
                <w:sz w:val="22"/>
                <w:szCs w:val="22"/>
                <w:lang w:val="en-US"/>
              </w:rPr>
              <w:t>。</w:t>
            </w:r>
          </w:p>
          <w:p w14:paraId="7B96D41D"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STSongti-SC-Regular" w:eastAsia="STSongti-SC-Regular" w:hAnsi="Whitney-Book" w:cs="STSongti-SC-Regular" w:hint="eastAsia"/>
                <w:sz w:val="22"/>
                <w:szCs w:val="22"/>
                <w:lang w:val="en-US"/>
              </w:rPr>
              <w:t>注</w:t>
            </w:r>
            <w:r>
              <w:rPr>
                <w:rFonts w:ascii="Whitney-BookItalic" w:hAnsi="Whitney-BookItalic" w:cs="Whitney-BookItalic"/>
                <w:i/>
                <w:iCs/>
                <w:sz w:val="22"/>
                <w:szCs w:val="22"/>
                <w:lang w:val="en-US"/>
              </w:rPr>
              <w:t>1</w:t>
            </w:r>
            <w:r>
              <w:rPr>
                <w:rFonts w:ascii="STSongti-SC-Regular" w:eastAsia="STSongti-SC-Regular" w:hAnsi="Whitney-Book" w:cs="STSongti-SC-Regular" w:hint="eastAsia"/>
                <w:sz w:val="22"/>
                <w:szCs w:val="22"/>
                <w:lang w:val="en-US"/>
              </w:rPr>
              <w:t>：某些债券的募集资⾦投放较稳定因此⽆需追踪效益指标以保持项⽬和资产的合规性</w:t>
            </w:r>
            <w:r>
              <w:rPr>
                <w:rFonts w:ascii="STSongti-SC-Regular" w:eastAsia="STSongti-SC-Regular" w:hAnsi="Whitney-Book" w:cs="STSongti-SC-Regular"/>
                <w:sz w:val="22"/>
                <w:szCs w:val="22"/>
                <w:lang w:val="en-US"/>
              </w:rPr>
              <w:t xml:space="preserve"> </w:t>
            </w:r>
            <w:r>
              <w:rPr>
                <w:rFonts w:ascii="Whitney-BookItalic" w:hAnsi="Whitney-BookItalic" w:cs="Whitney-BookItalic"/>
                <w:i/>
                <w:iCs/>
                <w:sz w:val="22"/>
                <w:szCs w:val="22"/>
                <w:lang w:val="en-US"/>
              </w:rPr>
              <w:t>(</w:t>
            </w:r>
            <w:r>
              <w:rPr>
                <w:rFonts w:ascii="STSongti-SC-Regular" w:eastAsia="STSongti-SC-Regular" w:hAnsi="Whitney-Book" w:cs="STSongti-SC-Regular" w:hint="eastAsia"/>
                <w:sz w:val="22"/>
                <w:szCs w:val="22"/>
                <w:lang w:val="en-US"/>
              </w:rPr>
              <w:t>⽐如</w:t>
            </w:r>
          </w:p>
          <w:p w14:paraId="645444AF"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proofErr w:type="spellStart"/>
            <w:r>
              <w:rPr>
                <w:rFonts w:ascii="STSongti-SC-Regular" w:eastAsia="STSongti-SC-Regular" w:hAnsi="Whitney-Book" w:cs="STSongti-SC-Regular" w:hint="eastAsia"/>
                <w:sz w:val="22"/>
                <w:szCs w:val="22"/>
                <w:lang w:val="en-US"/>
              </w:rPr>
              <w:lastRenderedPageBreak/>
              <w:t>为单</w:t>
            </w:r>
            <w:proofErr w:type="spellEnd"/>
            <w:r>
              <w:rPr>
                <w:rFonts w:ascii="STSongti-SC-Regular" w:eastAsia="STSongti-SC-Regular" w:hAnsi="Whitney-Book" w:cs="STSongti-SC-Regular" w:hint="eastAsia"/>
                <w:sz w:val="22"/>
                <w:szCs w:val="22"/>
                <w:lang w:val="en-US"/>
              </w:rPr>
              <w:t>⼀⼤</w:t>
            </w:r>
            <w:proofErr w:type="spellStart"/>
            <w:proofErr w:type="gramStart"/>
            <w:r>
              <w:rPr>
                <w:rFonts w:ascii="STSongti-SC-Regular" w:eastAsia="STSongti-SC-Regular" w:hAnsi="Whitney-Book" w:cs="STSongti-SC-Regular" w:hint="eastAsia"/>
                <w:sz w:val="22"/>
                <w:szCs w:val="22"/>
                <w:lang w:val="en-US"/>
              </w:rPr>
              <w:t>型太阳能设备融资</w:t>
            </w:r>
            <w:proofErr w:type="spellEnd"/>
            <w:r>
              <w:rPr>
                <w:rFonts w:ascii="Whitney-BookItalic" w:hAnsi="Whitney-BookItalic" w:cs="Whitney-BookItalic"/>
                <w:i/>
                <w:iCs/>
                <w:sz w:val="22"/>
                <w:szCs w:val="22"/>
                <w:lang w:val="en-US"/>
              </w:rPr>
              <w:t>)</w:t>
            </w:r>
            <w:r>
              <w:rPr>
                <w:rFonts w:ascii="STSongti-SC-Regular" w:eastAsia="STSongti-SC-Regular" w:hAnsi="Whitney-Book" w:cs="STSongti-SC-Regular" w:hint="eastAsia"/>
                <w:sz w:val="22"/>
                <w:szCs w:val="22"/>
                <w:lang w:val="en-US"/>
              </w:rPr>
              <w:t>。</w:t>
            </w:r>
            <w:proofErr w:type="spellStart"/>
            <w:proofErr w:type="gramEnd"/>
            <w:r>
              <w:rPr>
                <w:rFonts w:ascii="STSongti-SC-Regular" w:eastAsia="STSongti-SC-Regular" w:hAnsi="Whitney-Book" w:cs="STSongti-SC-Regular" w:hint="eastAsia"/>
                <w:sz w:val="22"/>
                <w:szCs w:val="22"/>
                <w:lang w:val="en-US"/>
              </w:rPr>
              <w:t>这意味着发</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每年提供的报告将⾮常简单</w:t>
            </w:r>
            <w:proofErr w:type="spellEnd"/>
            <w:r>
              <w:rPr>
                <w:rFonts w:ascii="STSongti-SC-Regular" w:eastAsia="STSongti-SC-Regular" w:hAnsi="Whitney-Book" w:cs="STSongti-SC-Regular" w:hint="eastAsia"/>
                <w:sz w:val="22"/>
                <w:szCs w:val="22"/>
                <w:lang w:val="en-US"/>
              </w:rPr>
              <w:t>。</w:t>
            </w:r>
          </w:p>
          <w:p w14:paraId="0FDBDA00"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STSongti-SC-Regular" w:eastAsia="STSongti-SC-Regular" w:hAnsi="Whitney-Book" w:cs="STSongti-SC-Regular" w:hint="eastAsia"/>
                <w:sz w:val="22"/>
                <w:szCs w:val="22"/>
                <w:lang w:val="en-US"/>
              </w:rPr>
              <w:t>注</w:t>
            </w:r>
            <w:r>
              <w:rPr>
                <w:rFonts w:ascii="Whitney-BookItalic" w:hAnsi="Whitney-BookItalic" w:cs="Whitney-BookItalic"/>
                <w:i/>
                <w:iCs/>
                <w:sz w:val="22"/>
                <w:szCs w:val="22"/>
                <w:lang w:val="en-US"/>
              </w:rPr>
              <w:t>2</w:t>
            </w:r>
            <w:r>
              <w:rPr>
                <w:rFonts w:ascii="STSongti-SC-Regular" w:eastAsia="STSongti-SC-Regular" w:hAnsi="Whitney-Book" w:cs="STSongti-SC-Regular" w:hint="eastAsia"/>
                <w:sz w:val="22"/>
                <w:szCs w:val="22"/>
                <w:lang w:val="en-US"/>
              </w:rPr>
              <w:t>：本条款下的报告时间可以与发⾏⼈</w:t>
            </w:r>
            <w:proofErr w:type="spellStart"/>
            <w:r>
              <w:rPr>
                <w:rFonts w:ascii="STSongti-SC-Regular" w:eastAsia="STSongti-SC-Regular" w:hAnsi="Whitney-Book" w:cs="STSongti-SC-Regular" w:hint="eastAsia"/>
                <w:sz w:val="22"/>
                <w:szCs w:val="22"/>
                <w:lang w:val="en-US"/>
              </w:rPr>
              <w:t>常规报告⽇程⼀致，发</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需按照认证或发⾏认证的</w:t>
            </w:r>
            <w:proofErr w:type="spellEnd"/>
          </w:p>
          <w:p w14:paraId="0046DF1C"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候债券的周年进⾏报告</w:t>
            </w:r>
            <w:proofErr w:type="spellEnd"/>
            <w:r>
              <w:rPr>
                <w:rFonts w:ascii="STSongti-SC-Regular" w:eastAsia="STSongti-SC-Regular" w:hAnsi="Whitney-Book" w:cs="STSongti-SC-Regular" w:hint="eastAsia"/>
                <w:sz w:val="22"/>
                <w:szCs w:val="22"/>
                <w:lang w:val="en-US"/>
              </w:rPr>
              <w:t>。</w:t>
            </w:r>
          </w:p>
          <w:p w14:paraId="39E9F5FC"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STSongti-SC-Regular" w:eastAsia="STSongti-SC-Regular" w:hAnsi="Whitney-Book" w:cs="STSongti-SC-Regular" w:hint="eastAsia"/>
                <w:sz w:val="22"/>
                <w:szCs w:val="22"/>
                <w:lang w:val="en-US"/>
              </w:rPr>
              <w:t>注</w:t>
            </w:r>
            <w:r>
              <w:rPr>
                <w:rFonts w:ascii="Whitney-BookItalic" w:hAnsi="Whitney-BookItalic" w:cs="Whitney-BookItalic"/>
                <w:i/>
                <w:iCs/>
                <w:sz w:val="22"/>
                <w:szCs w:val="22"/>
                <w:lang w:val="en-US"/>
              </w:rPr>
              <w:t>3</w:t>
            </w:r>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于衡量指定项⽬和资产的环境效益的定量绩效指标包括但不限于：装机容量、发电量</w:t>
            </w:r>
            <w:proofErr w:type="spellEnd"/>
            <w:r>
              <w:rPr>
                <w:rFonts w:ascii="STSongti-SC-Regular" w:eastAsia="STSongti-SC-Regular" w:hAnsi="Whitney-Book" w:cs="STSongti-SC-Regular" w:hint="eastAsia"/>
                <w:sz w:val="22"/>
                <w:szCs w:val="22"/>
                <w:lang w:val="en-US"/>
              </w:rPr>
              <w:t>、</w:t>
            </w:r>
          </w:p>
          <w:p w14:paraId="3D53C5D2" w14:textId="5F8EA2F5" w:rsidR="0009113A" w:rsidRPr="00E553EB" w:rsidRDefault="0009113A" w:rsidP="0009113A">
            <w:pPr>
              <w:rPr>
                <w:rFonts w:ascii="Calibri" w:hAnsi="Calibri"/>
              </w:rPr>
            </w:pPr>
            <w:proofErr w:type="spellStart"/>
            <w:r>
              <w:rPr>
                <w:rFonts w:ascii="STSongti-SC-Regular" w:eastAsia="STSongti-SC-Regular" w:hAnsi="Whitney-Book" w:cs="STSongti-SC-Regular" w:hint="eastAsia"/>
                <w:sz w:val="22"/>
                <w:szCs w:val="22"/>
                <w:lang w:val="en-US"/>
              </w:rPr>
              <w:t>建筑的碳排放性能、公共交通承载⼈数、电动车⽣产量和废⽔处理量等</w:t>
            </w:r>
            <w:proofErr w:type="spellEnd"/>
            <w:r>
              <w:rPr>
                <w:rFonts w:ascii="STSongti-SC-Regular" w:eastAsia="STSongti-SC-Regular" w:hAnsi="Whitney-Book" w:cs="STSongti-SC-Regular" w:hint="eastAsia"/>
                <w:sz w:val="22"/>
                <w:szCs w:val="22"/>
                <w:lang w:val="en-US"/>
              </w:rPr>
              <w:t>。</w:t>
            </w:r>
          </w:p>
        </w:tc>
        <w:tc>
          <w:tcPr>
            <w:tcW w:w="3404" w:type="dxa"/>
          </w:tcPr>
          <w:p w14:paraId="51D8DF15" w14:textId="77777777" w:rsidR="0009113A" w:rsidRPr="00E553EB" w:rsidRDefault="0009113A" w:rsidP="008200E1">
            <w:pPr>
              <w:rPr>
                <w:rFonts w:ascii="Calibri" w:hAnsi="Calibri"/>
              </w:rPr>
            </w:pPr>
          </w:p>
        </w:tc>
        <w:tc>
          <w:tcPr>
            <w:tcW w:w="1841" w:type="dxa"/>
          </w:tcPr>
          <w:p w14:paraId="07F301A6" w14:textId="77777777" w:rsidR="0009113A" w:rsidRPr="00E553EB" w:rsidRDefault="0009113A" w:rsidP="008200E1">
            <w:pPr>
              <w:rPr>
                <w:rFonts w:ascii="Calibri" w:hAnsi="Calibri"/>
              </w:rPr>
            </w:pPr>
          </w:p>
        </w:tc>
      </w:tr>
    </w:tbl>
    <w:p w14:paraId="3958881C" w14:textId="4D4B330F" w:rsidR="0009113A" w:rsidRDefault="0009113A"/>
    <w:tbl>
      <w:tblPr>
        <w:tblStyle w:val="TableGrid"/>
        <w:tblW w:w="10349" w:type="dxa"/>
        <w:tblInd w:w="-743" w:type="dxa"/>
        <w:tblLook w:val="04A0" w:firstRow="1" w:lastRow="0" w:firstColumn="1" w:lastColumn="0" w:noHBand="0" w:noVBand="1"/>
      </w:tblPr>
      <w:tblGrid>
        <w:gridCol w:w="5104"/>
        <w:gridCol w:w="3404"/>
        <w:gridCol w:w="1841"/>
      </w:tblGrid>
      <w:tr w:rsidR="0009113A" w14:paraId="49860A16" w14:textId="77777777" w:rsidTr="008200E1">
        <w:trPr>
          <w:trHeight w:val="515"/>
        </w:trPr>
        <w:tc>
          <w:tcPr>
            <w:tcW w:w="10349" w:type="dxa"/>
            <w:gridSpan w:val="3"/>
            <w:shd w:val="clear" w:color="auto" w:fill="99CCFF"/>
          </w:tcPr>
          <w:p w14:paraId="157F239D" w14:textId="77777777" w:rsidR="0009113A" w:rsidRDefault="0009113A" w:rsidP="008200E1">
            <w:pPr>
              <w:pStyle w:val="TableParagraph"/>
              <w:ind w:right="504"/>
              <w:jc w:val="center"/>
              <w:rPr>
                <w:rFonts w:ascii="Calibri" w:hAnsi="Calibri"/>
                <w:b/>
                <w:color w:val="FFFFFF" w:themeColor="background1"/>
                <w:sz w:val="28"/>
                <w:szCs w:val="28"/>
              </w:rPr>
            </w:pPr>
            <w:r w:rsidRPr="0009113A">
              <w:rPr>
                <w:rFonts w:ascii="Calibri" w:hAnsi="Calibri"/>
                <w:b/>
                <w:color w:val="FFFFFF" w:themeColor="background1"/>
                <w:sz w:val="28"/>
                <w:szCs w:val="28"/>
              </w:rPr>
              <w:t xml:space="preserve">8. </w:t>
            </w:r>
            <w:proofErr w:type="spellStart"/>
            <w:r w:rsidRPr="0009113A">
              <w:rPr>
                <w:rFonts w:ascii="Microsoft JhengHei" w:eastAsia="Microsoft JhengHei" w:hAnsi="Microsoft JhengHei" w:cs="Microsoft JhengHei" w:hint="eastAsia"/>
                <w:b/>
                <w:color w:val="FFFFFF" w:themeColor="background1"/>
                <w:sz w:val="28"/>
                <w:szCs w:val="28"/>
              </w:rPr>
              <w:t>报告</w:t>
            </w:r>
            <w:proofErr w:type="spellEnd"/>
          </w:p>
        </w:tc>
      </w:tr>
      <w:tr w:rsidR="0009113A" w14:paraId="78C87897" w14:textId="77777777" w:rsidTr="008200E1">
        <w:trPr>
          <w:trHeight w:val="581"/>
        </w:trPr>
        <w:tc>
          <w:tcPr>
            <w:tcW w:w="5104" w:type="dxa"/>
            <w:shd w:val="clear" w:color="auto" w:fill="99CCFF"/>
          </w:tcPr>
          <w:p w14:paraId="363DD5D8"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sidRPr="00E56099">
              <w:rPr>
                <w:rFonts w:ascii="Calibri" w:hAnsi="Calibri"/>
                <w:b/>
                <w:sz w:val="24"/>
                <w:szCs w:val="24"/>
              </w:rPr>
              <w:t>Climate Bonds Standard Requirement</w:t>
            </w:r>
          </w:p>
        </w:tc>
        <w:tc>
          <w:tcPr>
            <w:tcW w:w="3404" w:type="dxa"/>
            <w:shd w:val="clear" w:color="auto" w:fill="99CCFF"/>
          </w:tcPr>
          <w:p w14:paraId="7D418FDD"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Findings </w:t>
            </w:r>
          </w:p>
        </w:tc>
        <w:tc>
          <w:tcPr>
            <w:tcW w:w="1841" w:type="dxa"/>
            <w:shd w:val="clear" w:color="auto" w:fill="99CCFF"/>
          </w:tcPr>
          <w:p w14:paraId="57390DAA" w14:textId="77777777" w:rsidR="0009113A" w:rsidRPr="008E4CB5" w:rsidRDefault="0009113A" w:rsidP="008200E1">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42CE20AE"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Met </w:t>
            </w:r>
          </w:p>
        </w:tc>
      </w:tr>
      <w:tr w:rsidR="0009113A" w:rsidRPr="00E553EB" w14:paraId="4D7C8CC7" w14:textId="77777777" w:rsidTr="008200E1">
        <w:tc>
          <w:tcPr>
            <w:tcW w:w="5104" w:type="dxa"/>
          </w:tcPr>
          <w:p w14:paraId="3DC740B3" w14:textId="77777777" w:rsidR="0009113A" w:rsidRDefault="0009113A" w:rsidP="008200E1">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8.1.1. </w:t>
            </w:r>
            <w:proofErr w:type="spellStart"/>
            <w:r>
              <w:rPr>
                <w:rFonts w:ascii="STSongti-SC-Regular" w:eastAsia="STSongti-SC-Regular" w:hAnsi="Whitney-Book" w:cs="STSongti-SC-Regular" w:hint="eastAsia"/>
                <w:sz w:val="22"/>
                <w:szCs w:val="22"/>
                <w:lang w:val="en-US"/>
              </w:rPr>
              <w:t>在指定项⽬和资产的环境效益</w:t>
            </w:r>
            <w:proofErr w:type="spellEnd"/>
            <w:r>
              <w:rPr>
                <w:rFonts w:ascii="STSongti-SC-Regular" w:eastAsia="STSongti-SC-Regular" w:hAnsi="Whitney-Book" w:cs="STSongti-SC-Regular" w:hint="eastAsia"/>
                <w:sz w:val="22"/>
                <w:szCs w:val="22"/>
                <w:lang w:val="en-US"/>
              </w:rPr>
              <w:t>⽅⾯，发⾏⼈</w:t>
            </w:r>
            <w:proofErr w:type="spellStart"/>
            <w:r>
              <w:rPr>
                <w:rFonts w:ascii="STSongti-SC-Regular" w:eastAsia="STSongti-SC-Regular" w:hAnsi="Whitney-Book" w:cs="STSongti-SC-Regular" w:hint="eastAsia"/>
                <w:sz w:val="22"/>
                <w:szCs w:val="22"/>
                <w:lang w:val="en-US"/>
              </w:rPr>
              <w:t>应使⽤定性绩效指标，或在可⾏情况下使⽤定</w:t>
            </w:r>
            <w:proofErr w:type="spellEnd"/>
          </w:p>
          <w:p w14:paraId="2009F902" w14:textId="77777777" w:rsidR="0009113A" w:rsidRDefault="0009113A" w:rsidP="008200E1">
            <w:pPr>
              <w:autoSpaceDE w:val="0"/>
              <w:autoSpaceDN w:val="0"/>
              <w:adjustRightInd w:val="0"/>
              <w:rPr>
                <w:rFonts w:ascii="STSongti-SC-Regular" w:eastAsia="STSongti-SC-Regular" w:hAnsi="Whitney-Book" w:cs="STSongti-SC-Regular"/>
                <w:sz w:val="22"/>
                <w:szCs w:val="22"/>
                <w:lang w:val="en-US"/>
              </w:rPr>
            </w:pPr>
            <w:proofErr w:type="spellStart"/>
            <w:proofErr w:type="gramStart"/>
            <w:r>
              <w:rPr>
                <w:rFonts w:ascii="STSongti-SC-Regular" w:eastAsia="STSongti-SC-Regular" w:hAnsi="Whitney-Book" w:cs="STSongti-SC-Regular" w:hint="eastAsia"/>
                <w:sz w:val="22"/>
                <w:szCs w:val="22"/>
                <w:lang w:val="en-US"/>
              </w:rPr>
              <w:t>量绩效指标</w:t>
            </w:r>
            <w:proofErr w:type="spellEnd"/>
            <w:r>
              <w:rPr>
                <w:rFonts w:ascii="STSongti-SC-Regular" w:eastAsia="STSongti-SC-Regular" w:hAnsi="Whitney-Book" w:cs="STSongti-SC-Regular" w:hint="eastAsia"/>
                <w:sz w:val="22"/>
                <w:szCs w:val="22"/>
                <w:lang w:val="en-US"/>
              </w:rPr>
              <w:t>；</w:t>
            </w:r>
            <w:proofErr w:type="gramEnd"/>
          </w:p>
          <w:p w14:paraId="39A27D5F" w14:textId="77777777" w:rsidR="0009113A" w:rsidRDefault="0009113A" w:rsidP="008200E1">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8.1.2. </w:t>
            </w:r>
            <w:r>
              <w:rPr>
                <w:rFonts w:ascii="STSongti-SC-Regular" w:eastAsia="STSongti-SC-Regular" w:hAnsi="Whitney-Book" w:cs="STSongti-SC-Regular" w:hint="eastAsia"/>
                <w:sz w:val="22"/>
                <w:szCs w:val="22"/>
                <w:lang w:val="en-US"/>
              </w:rPr>
              <w:t>发⾏⼈</w:t>
            </w:r>
            <w:proofErr w:type="spellStart"/>
            <w:r>
              <w:rPr>
                <w:rFonts w:ascii="STSongti-SC-Regular" w:eastAsia="STSongti-SC-Regular" w:hAnsi="Whitney-Book" w:cs="STSongti-SC-Regular" w:hint="eastAsia"/>
                <w:sz w:val="22"/>
                <w:szCs w:val="22"/>
                <w:lang w:val="en-US"/>
              </w:rPr>
              <w:t>应披露准备绩效指标和度量的⽅</w:t>
            </w:r>
            <w:proofErr w:type="gramStart"/>
            <w:r>
              <w:rPr>
                <w:rFonts w:ascii="STSongti-SC-Regular" w:eastAsia="STSongti-SC-Regular" w:hAnsi="Whitney-Book" w:cs="STSongti-SC-Regular" w:hint="eastAsia"/>
                <w:sz w:val="22"/>
                <w:szCs w:val="22"/>
                <w:lang w:val="en-US"/>
              </w:rPr>
              <w:t>法及主要隐含假设</w:t>
            </w:r>
            <w:proofErr w:type="spellEnd"/>
            <w:r>
              <w:rPr>
                <w:rFonts w:ascii="STSongti-SC-Regular" w:eastAsia="STSongti-SC-Regular" w:hAnsi="Whitney-Book" w:cs="STSongti-SC-Regular" w:hint="eastAsia"/>
                <w:sz w:val="22"/>
                <w:szCs w:val="22"/>
                <w:lang w:val="en-US"/>
              </w:rPr>
              <w:t>；</w:t>
            </w:r>
            <w:proofErr w:type="gramEnd"/>
          </w:p>
          <w:p w14:paraId="29B06F78" w14:textId="77777777" w:rsidR="0009113A" w:rsidRDefault="0009113A" w:rsidP="008200E1">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8.1.3. </w:t>
            </w:r>
            <w:proofErr w:type="spellStart"/>
            <w:r>
              <w:rPr>
                <w:rFonts w:ascii="STSongti-SC-Regular" w:eastAsia="STSongti-SC-Regular" w:hAnsi="Whitney-Book" w:cs="STSongti-SC-Regular" w:hint="eastAsia"/>
                <w:sz w:val="22"/>
                <w:szCs w:val="22"/>
                <w:lang w:val="en-US"/>
              </w:rPr>
              <w:t>在指定项⽬和资产可披露的细节受到保密协议、竞争考量或标的项⽬较多的约束下，发</w:t>
            </w:r>
            <w:proofErr w:type="spellEnd"/>
            <w:r>
              <w:rPr>
                <w:rFonts w:ascii="STSongti-SC-Regular" w:eastAsia="STSongti-SC-Regular" w:hAnsi="Whitney-Book" w:cs="STSongti-SC-Regular" w:hint="eastAsia"/>
                <w:sz w:val="22"/>
                <w:szCs w:val="22"/>
                <w:lang w:val="en-US"/>
              </w:rPr>
              <w:t>⾏</w:t>
            </w:r>
          </w:p>
          <w:p w14:paraId="70B10CC8" w14:textId="77777777" w:rsidR="0009113A" w:rsidRDefault="0009113A" w:rsidP="008200E1">
            <w:pPr>
              <w:autoSpaceDE w:val="0"/>
              <w:autoSpaceDN w:val="0"/>
              <w:adjustRightInd w:val="0"/>
              <w:rPr>
                <w:rFonts w:ascii="STSongti-SC-Regular" w:eastAsia="STSongti-SC-Regular" w:hAnsi="Whitney-Book" w:cs="STSongti-SC-Regular"/>
                <w:sz w:val="22"/>
                <w:szCs w:val="22"/>
                <w:lang w:val="en-US"/>
              </w:rPr>
            </w:pPr>
            <w:r>
              <w:rPr>
                <w:rFonts w:ascii="STSongti-SC-Regular" w:eastAsia="STSongti-SC-Regular" w:hAnsi="Whitney-Book" w:cs="STSongti-SC-Regular" w:hint="eastAsia"/>
                <w:sz w:val="22"/>
                <w:szCs w:val="22"/>
                <w:lang w:val="en-US"/>
              </w:rPr>
              <w:t>⼈应按照条款</w:t>
            </w:r>
            <w:r>
              <w:rPr>
                <w:rFonts w:ascii="Whitney-Book" w:hAnsi="Whitney-Book" w:cs="Whitney-Book"/>
                <w:sz w:val="22"/>
                <w:szCs w:val="22"/>
                <w:lang w:val="en-US"/>
              </w:rPr>
              <w:t xml:space="preserve">9.1 </w:t>
            </w:r>
            <w:proofErr w:type="spellStart"/>
            <w:r>
              <w:rPr>
                <w:rFonts w:ascii="STSongti-SC-Regular" w:eastAsia="STSongti-SC-Regular" w:hAnsi="Whitney-Book" w:cs="STSongti-SC-Regular" w:hint="eastAsia"/>
                <w:sz w:val="22"/>
                <w:szCs w:val="22"/>
                <w:lang w:val="en-US"/>
              </w:rPr>
              <w:t>所⽰披露指定项⽬和资产所属的投资领域相关信息</w:t>
            </w:r>
            <w:proofErr w:type="spellEnd"/>
            <w:r>
              <w:rPr>
                <w:rFonts w:ascii="STSongti-SC-Regular" w:eastAsia="STSongti-SC-Regular" w:hAnsi="Whitney-Book" w:cs="STSongti-SC-Regular" w:hint="eastAsia"/>
                <w:sz w:val="22"/>
                <w:szCs w:val="22"/>
                <w:lang w:val="en-US"/>
              </w:rPr>
              <w:t>。</w:t>
            </w:r>
          </w:p>
          <w:p w14:paraId="53444BB7" w14:textId="77777777" w:rsidR="0009113A" w:rsidRDefault="0009113A" w:rsidP="008200E1">
            <w:pPr>
              <w:autoSpaceDE w:val="0"/>
              <w:autoSpaceDN w:val="0"/>
              <w:adjustRightInd w:val="0"/>
              <w:rPr>
                <w:rFonts w:ascii="STSongti-SC-Regular" w:eastAsia="STSongti-SC-Regular" w:hAnsi="Whitney-Book" w:cs="STSongti-SC-Regular"/>
                <w:sz w:val="22"/>
                <w:szCs w:val="22"/>
                <w:lang w:val="en-US"/>
              </w:rPr>
            </w:pPr>
            <w:r>
              <w:rPr>
                <w:rFonts w:ascii="STSongti-SC-Regular" w:eastAsia="STSongti-SC-Regular" w:hAnsi="Whitney-Book" w:cs="STSongti-SC-Regular" w:hint="eastAsia"/>
                <w:sz w:val="22"/>
                <w:szCs w:val="22"/>
                <w:lang w:val="en-US"/>
              </w:rPr>
              <w:t>注</w:t>
            </w:r>
            <w:r>
              <w:rPr>
                <w:rFonts w:ascii="Whitney-BookItalic" w:hAnsi="Whitney-BookItalic" w:cs="Whitney-BookItalic"/>
                <w:i/>
                <w:iCs/>
                <w:sz w:val="22"/>
                <w:szCs w:val="22"/>
                <w:lang w:val="en-US"/>
              </w:rPr>
              <w:t>1</w:t>
            </w:r>
            <w:r>
              <w:rPr>
                <w:rFonts w:ascii="STSongti-SC-Regular" w:eastAsia="STSongti-SC-Regular" w:hAnsi="Whitney-Book" w:cs="STSongti-SC-Regular" w:hint="eastAsia"/>
                <w:sz w:val="22"/>
                <w:szCs w:val="22"/>
                <w:lang w:val="en-US"/>
              </w:rPr>
              <w:t>：某些债券的募集资⾦投放较稳定因此⽆需追踪效益指标以保持项⽬和资产的合规性</w:t>
            </w:r>
            <w:r>
              <w:rPr>
                <w:rFonts w:ascii="STSongti-SC-Regular" w:eastAsia="STSongti-SC-Regular" w:hAnsi="Whitney-Book" w:cs="STSongti-SC-Regular"/>
                <w:sz w:val="22"/>
                <w:szCs w:val="22"/>
                <w:lang w:val="en-US"/>
              </w:rPr>
              <w:t xml:space="preserve"> </w:t>
            </w:r>
            <w:r>
              <w:rPr>
                <w:rFonts w:ascii="Whitney-BookItalic" w:hAnsi="Whitney-BookItalic" w:cs="Whitney-BookItalic"/>
                <w:i/>
                <w:iCs/>
                <w:sz w:val="22"/>
                <w:szCs w:val="22"/>
                <w:lang w:val="en-US"/>
              </w:rPr>
              <w:t>(</w:t>
            </w:r>
            <w:r>
              <w:rPr>
                <w:rFonts w:ascii="STSongti-SC-Regular" w:eastAsia="STSongti-SC-Regular" w:hAnsi="Whitney-Book" w:cs="STSongti-SC-Regular" w:hint="eastAsia"/>
                <w:sz w:val="22"/>
                <w:szCs w:val="22"/>
                <w:lang w:val="en-US"/>
              </w:rPr>
              <w:t>⽐如</w:t>
            </w:r>
          </w:p>
          <w:p w14:paraId="7E199D71" w14:textId="77777777" w:rsidR="0009113A" w:rsidRDefault="0009113A" w:rsidP="008200E1">
            <w:pPr>
              <w:autoSpaceDE w:val="0"/>
              <w:autoSpaceDN w:val="0"/>
              <w:adjustRightInd w:val="0"/>
              <w:rPr>
                <w:rFonts w:ascii="STSongti-SC-Regular" w:eastAsia="STSongti-SC-Regular" w:hAnsi="Whitney-Book" w:cs="STSongti-SC-Regular"/>
                <w:sz w:val="22"/>
                <w:szCs w:val="22"/>
                <w:lang w:val="en-US"/>
              </w:rPr>
            </w:pPr>
            <w:proofErr w:type="spellStart"/>
            <w:r>
              <w:rPr>
                <w:rFonts w:ascii="STSongti-SC-Regular" w:eastAsia="STSongti-SC-Regular" w:hAnsi="Whitney-Book" w:cs="STSongti-SC-Regular" w:hint="eastAsia"/>
                <w:sz w:val="22"/>
                <w:szCs w:val="22"/>
                <w:lang w:val="en-US"/>
              </w:rPr>
              <w:t>为单</w:t>
            </w:r>
            <w:proofErr w:type="spellEnd"/>
            <w:r>
              <w:rPr>
                <w:rFonts w:ascii="STSongti-SC-Regular" w:eastAsia="STSongti-SC-Regular" w:hAnsi="Whitney-Book" w:cs="STSongti-SC-Regular" w:hint="eastAsia"/>
                <w:sz w:val="22"/>
                <w:szCs w:val="22"/>
                <w:lang w:val="en-US"/>
              </w:rPr>
              <w:t>⼀⼤</w:t>
            </w:r>
            <w:proofErr w:type="spellStart"/>
            <w:proofErr w:type="gramStart"/>
            <w:r>
              <w:rPr>
                <w:rFonts w:ascii="STSongti-SC-Regular" w:eastAsia="STSongti-SC-Regular" w:hAnsi="Whitney-Book" w:cs="STSongti-SC-Regular" w:hint="eastAsia"/>
                <w:sz w:val="22"/>
                <w:szCs w:val="22"/>
                <w:lang w:val="en-US"/>
              </w:rPr>
              <w:t>型太阳能设备融资</w:t>
            </w:r>
            <w:proofErr w:type="spellEnd"/>
            <w:r>
              <w:rPr>
                <w:rFonts w:ascii="Whitney-BookItalic" w:hAnsi="Whitney-BookItalic" w:cs="Whitney-BookItalic"/>
                <w:i/>
                <w:iCs/>
                <w:sz w:val="22"/>
                <w:szCs w:val="22"/>
                <w:lang w:val="en-US"/>
              </w:rPr>
              <w:t>)</w:t>
            </w:r>
            <w:r>
              <w:rPr>
                <w:rFonts w:ascii="STSongti-SC-Regular" w:eastAsia="STSongti-SC-Regular" w:hAnsi="Whitney-Book" w:cs="STSongti-SC-Regular" w:hint="eastAsia"/>
                <w:sz w:val="22"/>
                <w:szCs w:val="22"/>
                <w:lang w:val="en-US"/>
              </w:rPr>
              <w:t>。</w:t>
            </w:r>
            <w:proofErr w:type="spellStart"/>
            <w:proofErr w:type="gramEnd"/>
            <w:r>
              <w:rPr>
                <w:rFonts w:ascii="STSongti-SC-Regular" w:eastAsia="STSongti-SC-Regular" w:hAnsi="Whitney-Book" w:cs="STSongti-SC-Regular" w:hint="eastAsia"/>
                <w:sz w:val="22"/>
                <w:szCs w:val="22"/>
                <w:lang w:val="en-US"/>
              </w:rPr>
              <w:t>这意味着发</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每年提供的报告将⾮常简单</w:t>
            </w:r>
            <w:proofErr w:type="spellEnd"/>
            <w:r>
              <w:rPr>
                <w:rFonts w:ascii="STSongti-SC-Regular" w:eastAsia="STSongti-SC-Regular" w:hAnsi="Whitney-Book" w:cs="STSongti-SC-Regular" w:hint="eastAsia"/>
                <w:sz w:val="22"/>
                <w:szCs w:val="22"/>
                <w:lang w:val="en-US"/>
              </w:rPr>
              <w:t>。</w:t>
            </w:r>
          </w:p>
          <w:p w14:paraId="37BA02D2" w14:textId="77777777" w:rsidR="0009113A" w:rsidRDefault="0009113A" w:rsidP="008200E1">
            <w:pPr>
              <w:autoSpaceDE w:val="0"/>
              <w:autoSpaceDN w:val="0"/>
              <w:adjustRightInd w:val="0"/>
              <w:rPr>
                <w:rFonts w:ascii="STSongti-SC-Regular" w:eastAsia="STSongti-SC-Regular" w:hAnsi="Whitney-Book" w:cs="STSongti-SC-Regular"/>
                <w:sz w:val="22"/>
                <w:szCs w:val="22"/>
                <w:lang w:val="en-US"/>
              </w:rPr>
            </w:pPr>
            <w:r>
              <w:rPr>
                <w:rFonts w:ascii="STSongti-SC-Regular" w:eastAsia="STSongti-SC-Regular" w:hAnsi="Whitney-Book" w:cs="STSongti-SC-Regular" w:hint="eastAsia"/>
                <w:sz w:val="22"/>
                <w:szCs w:val="22"/>
                <w:lang w:val="en-US"/>
              </w:rPr>
              <w:t>注</w:t>
            </w:r>
            <w:r>
              <w:rPr>
                <w:rFonts w:ascii="Whitney-BookItalic" w:hAnsi="Whitney-BookItalic" w:cs="Whitney-BookItalic"/>
                <w:i/>
                <w:iCs/>
                <w:sz w:val="22"/>
                <w:szCs w:val="22"/>
                <w:lang w:val="en-US"/>
              </w:rPr>
              <w:t>2</w:t>
            </w:r>
            <w:r>
              <w:rPr>
                <w:rFonts w:ascii="STSongti-SC-Regular" w:eastAsia="STSongti-SC-Regular" w:hAnsi="Whitney-Book" w:cs="STSongti-SC-Regular" w:hint="eastAsia"/>
                <w:sz w:val="22"/>
                <w:szCs w:val="22"/>
                <w:lang w:val="en-US"/>
              </w:rPr>
              <w:t>：本条款下的报告时间可以与发⾏⼈</w:t>
            </w:r>
            <w:proofErr w:type="spellStart"/>
            <w:r>
              <w:rPr>
                <w:rFonts w:ascii="STSongti-SC-Regular" w:eastAsia="STSongti-SC-Regular" w:hAnsi="Whitney-Book" w:cs="STSongti-SC-Regular" w:hint="eastAsia"/>
                <w:sz w:val="22"/>
                <w:szCs w:val="22"/>
                <w:lang w:val="en-US"/>
              </w:rPr>
              <w:t>常规报告⽇程⼀致，发</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需按照认证或发⾏认证的</w:t>
            </w:r>
            <w:proofErr w:type="spellEnd"/>
          </w:p>
          <w:p w14:paraId="760AF50C" w14:textId="77777777" w:rsidR="0009113A" w:rsidRDefault="0009113A" w:rsidP="008200E1">
            <w:pPr>
              <w:autoSpaceDE w:val="0"/>
              <w:autoSpaceDN w:val="0"/>
              <w:adjustRightInd w:val="0"/>
              <w:rPr>
                <w:rFonts w:ascii="STSongti-SC-Regular" w:eastAsia="STSongti-SC-Regular" w:hAnsi="Whitney-Book" w:cs="STSongti-SC-Regular"/>
                <w:sz w:val="22"/>
                <w:szCs w:val="22"/>
                <w:lang w:val="en-US"/>
              </w:rPr>
            </w:pPr>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候债券的周年进⾏报告</w:t>
            </w:r>
            <w:proofErr w:type="spellEnd"/>
            <w:r>
              <w:rPr>
                <w:rFonts w:ascii="STSongti-SC-Regular" w:eastAsia="STSongti-SC-Regular" w:hAnsi="Whitney-Book" w:cs="STSongti-SC-Regular" w:hint="eastAsia"/>
                <w:sz w:val="22"/>
                <w:szCs w:val="22"/>
                <w:lang w:val="en-US"/>
              </w:rPr>
              <w:t>。</w:t>
            </w:r>
          </w:p>
          <w:p w14:paraId="1D67C77F" w14:textId="77777777" w:rsidR="0009113A" w:rsidRDefault="0009113A" w:rsidP="008200E1">
            <w:pPr>
              <w:autoSpaceDE w:val="0"/>
              <w:autoSpaceDN w:val="0"/>
              <w:adjustRightInd w:val="0"/>
              <w:rPr>
                <w:rFonts w:ascii="STSongti-SC-Regular" w:eastAsia="STSongti-SC-Regular" w:hAnsi="Whitney-Book" w:cs="STSongti-SC-Regular"/>
                <w:sz w:val="22"/>
                <w:szCs w:val="22"/>
                <w:lang w:val="en-US"/>
              </w:rPr>
            </w:pPr>
            <w:r>
              <w:rPr>
                <w:rFonts w:ascii="STSongti-SC-Regular" w:eastAsia="STSongti-SC-Regular" w:hAnsi="Whitney-Book" w:cs="STSongti-SC-Regular" w:hint="eastAsia"/>
                <w:sz w:val="22"/>
                <w:szCs w:val="22"/>
                <w:lang w:val="en-US"/>
              </w:rPr>
              <w:t>注</w:t>
            </w:r>
            <w:r>
              <w:rPr>
                <w:rFonts w:ascii="Whitney-BookItalic" w:hAnsi="Whitney-BookItalic" w:cs="Whitney-BookItalic"/>
                <w:i/>
                <w:iCs/>
                <w:sz w:val="22"/>
                <w:szCs w:val="22"/>
                <w:lang w:val="en-US"/>
              </w:rPr>
              <w:t>3</w:t>
            </w:r>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于衡量指定项⽬和资产的环境效益的定量绩效指标包括但不限于：装机容量、发电量</w:t>
            </w:r>
            <w:proofErr w:type="spellEnd"/>
            <w:r>
              <w:rPr>
                <w:rFonts w:ascii="STSongti-SC-Regular" w:eastAsia="STSongti-SC-Regular" w:hAnsi="Whitney-Book" w:cs="STSongti-SC-Regular" w:hint="eastAsia"/>
                <w:sz w:val="22"/>
                <w:szCs w:val="22"/>
                <w:lang w:val="en-US"/>
              </w:rPr>
              <w:t>、</w:t>
            </w:r>
          </w:p>
          <w:p w14:paraId="315D099C" w14:textId="77777777" w:rsidR="0009113A" w:rsidRPr="00E553EB" w:rsidRDefault="0009113A" w:rsidP="008200E1">
            <w:pPr>
              <w:rPr>
                <w:rFonts w:ascii="Calibri" w:hAnsi="Calibri"/>
              </w:rPr>
            </w:pPr>
            <w:proofErr w:type="spellStart"/>
            <w:r>
              <w:rPr>
                <w:rFonts w:ascii="STSongti-SC-Regular" w:eastAsia="STSongti-SC-Regular" w:hAnsi="Whitney-Book" w:cs="STSongti-SC-Regular" w:hint="eastAsia"/>
                <w:sz w:val="22"/>
                <w:szCs w:val="22"/>
                <w:lang w:val="en-US"/>
              </w:rPr>
              <w:t>建筑的碳排放性能、公共交通承载⼈数、电动车⽣产量和废⽔处理量等</w:t>
            </w:r>
            <w:proofErr w:type="spellEnd"/>
            <w:r>
              <w:rPr>
                <w:rFonts w:ascii="STSongti-SC-Regular" w:eastAsia="STSongti-SC-Regular" w:hAnsi="Whitney-Book" w:cs="STSongti-SC-Regular" w:hint="eastAsia"/>
                <w:sz w:val="22"/>
                <w:szCs w:val="22"/>
                <w:lang w:val="en-US"/>
              </w:rPr>
              <w:t>。</w:t>
            </w:r>
          </w:p>
        </w:tc>
        <w:tc>
          <w:tcPr>
            <w:tcW w:w="3404" w:type="dxa"/>
          </w:tcPr>
          <w:p w14:paraId="59468188" w14:textId="77777777" w:rsidR="0009113A" w:rsidRPr="00E553EB" w:rsidRDefault="0009113A" w:rsidP="008200E1">
            <w:pPr>
              <w:rPr>
                <w:rFonts w:ascii="Calibri" w:hAnsi="Calibri"/>
              </w:rPr>
            </w:pPr>
          </w:p>
        </w:tc>
        <w:tc>
          <w:tcPr>
            <w:tcW w:w="1841" w:type="dxa"/>
          </w:tcPr>
          <w:p w14:paraId="00E432C6" w14:textId="77777777" w:rsidR="0009113A" w:rsidRPr="00E553EB" w:rsidRDefault="0009113A" w:rsidP="008200E1">
            <w:pPr>
              <w:rPr>
                <w:rFonts w:ascii="Calibri" w:hAnsi="Calibri"/>
              </w:rPr>
            </w:pPr>
          </w:p>
        </w:tc>
      </w:tr>
    </w:tbl>
    <w:p w14:paraId="58F2AAB4" w14:textId="3E3186A3" w:rsidR="0009113A" w:rsidRDefault="0009113A"/>
    <w:p w14:paraId="1045863C" w14:textId="77777777" w:rsidR="0009113A" w:rsidRDefault="0009113A">
      <w:pPr>
        <w:rPr>
          <w:rFonts w:ascii="Whitney-Book" w:hAnsi="Whitney-Book" w:cs="Whitney-Book"/>
          <w:color w:val="365F92"/>
          <w:sz w:val="21"/>
          <w:szCs w:val="21"/>
          <w:lang w:val="en-US"/>
        </w:rPr>
      </w:pPr>
      <w:r>
        <w:rPr>
          <w:rFonts w:ascii="Whitney-Book" w:hAnsi="Whitney-Book" w:cs="Whitney-Book"/>
          <w:color w:val="365F92"/>
          <w:sz w:val="21"/>
          <w:szCs w:val="21"/>
          <w:lang w:val="en-US"/>
        </w:rPr>
        <w:br w:type="page"/>
      </w:r>
    </w:p>
    <w:p w14:paraId="1EBB20BE" w14:textId="5201206B" w:rsidR="0009113A" w:rsidRDefault="0009113A" w:rsidP="0009113A">
      <w:pPr>
        <w:autoSpaceDE w:val="0"/>
        <w:autoSpaceDN w:val="0"/>
        <w:adjustRightInd w:val="0"/>
        <w:ind w:firstLine="180"/>
        <w:rPr>
          <w:rFonts w:ascii="STSongti-SC-Bold" w:eastAsia="STSongti-SC-Bold" w:hAnsi="Whitney-Book" w:cs="STSongti-SC-Bold"/>
          <w:b/>
          <w:bCs/>
          <w:color w:val="365F92"/>
          <w:sz w:val="22"/>
          <w:szCs w:val="22"/>
          <w:lang w:val="en-US"/>
        </w:rPr>
      </w:pPr>
      <w:r>
        <w:rPr>
          <w:rFonts w:ascii="Whitney-Book" w:hAnsi="Whitney-Book" w:cs="Whitney-Book"/>
          <w:color w:val="365F92"/>
          <w:sz w:val="21"/>
          <w:szCs w:val="21"/>
          <w:lang w:val="en-US"/>
        </w:rPr>
        <w:lastRenderedPageBreak/>
        <w:t xml:space="preserve">B </w:t>
      </w:r>
      <w:proofErr w:type="spellStart"/>
      <w:r>
        <w:rPr>
          <w:rFonts w:ascii="STSongti-SC-Bold" w:eastAsia="STSongti-SC-Bold" w:hAnsi="Whitney-Book" w:cs="STSongti-SC-Bold" w:hint="eastAsia"/>
          <w:b/>
          <w:bCs/>
          <w:color w:val="365F92"/>
          <w:sz w:val="22"/>
          <w:szCs w:val="22"/>
          <w:lang w:val="en-US"/>
        </w:rPr>
        <w:t>部分：合格的项⽬和资产</w:t>
      </w:r>
      <w:proofErr w:type="spellEnd"/>
    </w:p>
    <w:p w14:paraId="422562C0" w14:textId="0D8F26EA" w:rsidR="0009113A" w:rsidRDefault="0009113A" w:rsidP="0009113A">
      <w:pPr>
        <w:autoSpaceDE w:val="0"/>
        <w:autoSpaceDN w:val="0"/>
        <w:adjustRightInd w:val="0"/>
        <w:ind w:firstLine="180"/>
        <w:rPr>
          <w:rFonts w:ascii="STSongti-SC-Regular" w:eastAsia="STSongti-SC-Regular" w:hAnsi="Whitney-Book" w:cs="STSongti-SC-Regular"/>
          <w:color w:val="000000"/>
          <w:sz w:val="22"/>
          <w:szCs w:val="22"/>
          <w:lang w:val="en-US"/>
        </w:rPr>
      </w:pPr>
      <w:proofErr w:type="spellStart"/>
      <w:r>
        <w:rPr>
          <w:rFonts w:ascii="STSongti-SC-Regular" w:eastAsia="STSongti-SC-Regular" w:hAnsi="Whitney-Book" w:cs="STSongti-SC-Regular" w:hint="eastAsia"/>
          <w:color w:val="000000"/>
          <w:sz w:val="22"/>
          <w:szCs w:val="22"/>
          <w:lang w:val="en-US"/>
        </w:rPr>
        <w:t>这部分的⽓候债券标准阐述了在</w:t>
      </w:r>
      <w:proofErr w:type="spellEnd"/>
      <w:r>
        <w:rPr>
          <w:rFonts w:ascii="STSongti-SC-Regular" w:eastAsia="STSongti-SC-Regular" w:hAnsi="Whitney-Book" w:cs="STSongti-SC-Regular" w:hint="eastAsia"/>
          <w:color w:val="000000"/>
          <w:sz w:val="22"/>
          <w:szCs w:val="22"/>
          <w:lang w:val="en-US"/>
        </w:rPr>
        <w:t>⽓</w:t>
      </w:r>
      <w:proofErr w:type="spellStart"/>
      <w:r>
        <w:rPr>
          <w:rFonts w:ascii="STSongti-SC-Regular" w:eastAsia="STSongti-SC-Regular" w:hAnsi="Whitney-Book" w:cs="STSongti-SC-Regular" w:hint="eastAsia"/>
          <w:color w:val="000000"/>
          <w:sz w:val="22"/>
          <w:szCs w:val="22"/>
          <w:lang w:val="en-US"/>
        </w:rPr>
        <w:t>候债券标准下决定具体项⽬和实物资产合规性的两步流程，以保证项⽬和资产⽤于实现低碳和⽓候适应型经济</w:t>
      </w:r>
      <w:proofErr w:type="spellEnd"/>
      <w:r>
        <w:rPr>
          <w:rFonts w:ascii="STSongti-SC-Regular" w:eastAsia="STSongti-SC-Regular" w:hAnsi="Whitney-Book" w:cs="STSongti-SC-Regular" w:hint="eastAsia"/>
          <w:color w:val="000000"/>
          <w:sz w:val="22"/>
          <w:szCs w:val="22"/>
          <w:lang w:val="en-US"/>
        </w:rPr>
        <w:t>。</w:t>
      </w:r>
    </w:p>
    <w:p w14:paraId="4B8B4B08" w14:textId="397D0E02" w:rsidR="0009113A" w:rsidRDefault="0009113A" w:rsidP="0009113A">
      <w:pPr>
        <w:autoSpaceDE w:val="0"/>
        <w:autoSpaceDN w:val="0"/>
        <w:adjustRightInd w:val="0"/>
        <w:ind w:firstLine="180"/>
        <w:rPr>
          <w:rFonts w:ascii="STSongti-SC-Regular" w:eastAsia="STSongti-SC-Regular" w:hAnsi="Whitney-Book" w:cs="STSongti-SC-Regular"/>
          <w:color w:val="000000"/>
          <w:sz w:val="22"/>
          <w:szCs w:val="22"/>
          <w:lang w:val="en-US"/>
        </w:rPr>
      </w:pPr>
      <w:r>
        <w:rPr>
          <w:rFonts w:ascii="STSongti-SC-Bold" w:eastAsia="STSongti-SC-Bold" w:hAnsi="Whitney-Book" w:cs="STSongti-SC-Bold" w:hint="eastAsia"/>
          <w:b/>
          <w:bCs/>
          <w:color w:val="000000"/>
          <w:sz w:val="22"/>
          <w:szCs w:val="22"/>
          <w:lang w:val="en-US"/>
        </w:rPr>
        <w:t>条款</w:t>
      </w:r>
      <w:r>
        <w:rPr>
          <w:rFonts w:ascii="Whitney-Book" w:hAnsi="Whitney-Book" w:cs="Whitney-Book"/>
          <w:color w:val="000000"/>
          <w:sz w:val="21"/>
          <w:szCs w:val="21"/>
          <w:lang w:val="en-US"/>
        </w:rPr>
        <w:t xml:space="preserve">9 </w:t>
      </w:r>
      <w:proofErr w:type="spellStart"/>
      <w:r>
        <w:rPr>
          <w:rFonts w:ascii="STSongti-SC-Regular" w:eastAsia="STSongti-SC-Regular" w:hAnsi="Whitney-Book" w:cs="STSongti-SC-Regular" w:hint="eastAsia"/>
          <w:color w:val="000000"/>
          <w:sz w:val="22"/>
          <w:szCs w:val="22"/>
          <w:lang w:val="en-US"/>
        </w:rPr>
        <w:t>指⽓候债券分类⽅案（详见附录</w:t>
      </w:r>
      <w:r>
        <w:rPr>
          <w:rFonts w:ascii="Whitney-Book" w:hAnsi="Whitney-Book" w:cs="Whitney-Book"/>
          <w:color w:val="000000"/>
          <w:sz w:val="22"/>
          <w:szCs w:val="22"/>
          <w:lang w:val="en-US"/>
        </w:rPr>
        <w:t>A</w:t>
      </w:r>
      <w:proofErr w:type="spellEnd"/>
      <w:r>
        <w:rPr>
          <w:rFonts w:ascii="STSongti-SC-Regular" w:eastAsia="STSongti-SC-Regular" w:hAnsi="Whitney-Book" w:cs="STSongti-SC-Regular" w:hint="eastAsia"/>
          <w:color w:val="000000"/>
          <w:sz w:val="22"/>
          <w:szCs w:val="22"/>
          <w:lang w:val="en-US"/>
        </w:rPr>
        <w:t>）。⽓</w:t>
      </w:r>
      <w:proofErr w:type="spellStart"/>
      <w:r>
        <w:rPr>
          <w:rFonts w:ascii="STSongti-SC-Regular" w:eastAsia="STSongti-SC-Regular" w:hAnsi="Whitney-Book" w:cs="STSongti-SC-Regular" w:hint="eastAsia"/>
          <w:color w:val="000000"/>
          <w:sz w:val="22"/>
          <w:szCs w:val="22"/>
          <w:lang w:val="en-US"/>
        </w:rPr>
        <w:t>候债券分类</w:t>
      </w:r>
      <w:proofErr w:type="spellEnd"/>
      <w:r>
        <w:rPr>
          <w:rFonts w:ascii="STSongti-SC-Regular" w:eastAsia="STSongti-SC-Regular" w:hAnsi="Whitney-Book" w:cs="STSongti-SC-Regular" w:hint="eastAsia"/>
          <w:color w:val="000000"/>
          <w:sz w:val="22"/>
          <w:szCs w:val="22"/>
          <w:lang w:val="en-US"/>
        </w:rPr>
        <w:t>⽅案为全球经济主要领域内⽓候变化减缓和适应的投资机遇提供了明确的指导。该分类⽅案由最新⽓候科学及</w:t>
      </w:r>
      <w:r>
        <w:rPr>
          <w:rFonts w:ascii="Whitney-Book" w:hAnsi="Whitney-Book" w:cs="Whitney-Book"/>
          <w:color w:val="000000"/>
          <w:sz w:val="22"/>
          <w:szCs w:val="22"/>
          <w:lang w:val="en-US"/>
        </w:rPr>
        <w:t xml:space="preserve">2 </w:t>
      </w:r>
      <w:r>
        <w:rPr>
          <w:rFonts w:ascii="STSongti-SC-Regular" w:eastAsia="STSongti-SC-Regular" w:hAnsi="Whitney-Book" w:cs="STSongti-SC-Regular" w:hint="eastAsia"/>
          <w:color w:val="000000"/>
          <w:sz w:val="22"/>
          <w:szCs w:val="22"/>
          <w:lang w:val="en-US"/>
        </w:rPr>
        <w:t>摄⽒度情景⽀持，对所有领域进⾏明确的初步筛选。该分类⽅案中所包含的项⽬或资产会受到条例</w:t>
      </w:r>
      <w:r>
        <w:rPr>
          <w:rFonts w:ascii="Whitney-Book" w:hAnsi="Whitney-Book" w:cs="Whitney-Book"/>
          <w:color w:val="000000"/>
          <w:sz w:val="22"/>
          <w:szCs w:val="22"/>
          <w:lang w:val="en-US"/>
        </w:rPr>
        <w:t xml:space="preserve">10 </w:t>
      </w:r>
      <w:proofErr w:type="spellStart"/>
      <w:r>
        <w:rPr>
          <w:rFonts w:ascii="STSongti-SC-Regular" w:eastAsia="STSongti-SC-Regular" w:hAnsi="Whitney-Book" w:cs="STSongti-SC-Regular" w:hint="eastAsia"/>
          <w:color w:val="000000"/>
          <w:sz w:val="22"/>
          <w:szCs w:val="22"/>
          <w:lang w:val="en-US"/>
        </w:rPr>
        <w:t>所列合规性标准的进⼀步限制</w:t>
      </w:r>
      <w:proofErr w:type="spellEnd"/>
      <w:r>
        <w:rPr>
          <w:rFonts w:ascii="STSongti-SC-Regular" w:eastAsia="STSongti-SC-Regular" w:hAnsi="Whitney-Book" w:cs="STSongti-SC-Regular" w:hint="eastAsia"/>
          <w:color w:val="000000"/>
          <w:sz w:val="22"/>
          <w:szCs w:val="22"/>
          <w:lang w:val="en-US"/>
        </w:rPr>
        <w:t>。</w:t>
      </w:r>
    </w:p>
    <w:p w14:paraId="0EEB5DC4" w14:textId="1A23E1BB" w:rsidR="0009113A" w:rsidRDefault="0009113A" w:rsidP="0009113A">
      <w:pPr>
        <w:autoSpaceDE w:val="0"/>
        <w:autoSpaceDN w:val="0"/>
        <w:adjustRightInd w:val="0"/>
        <w:ind w:firstLine="180"/>
        <w:rPr>
          <w:rFonts w:ascii="STSongti-SC-Regular" w:eastAsia="STSongti-SC-Regular" w:hAnsi="Whitney-Book" w:cs="STSongti-SC-Regular"/>
          <w:color w:val="000000"/>
          <w:sz w:val="22"/>
          <w:szCs w:val="22"/>
          <w:lang w:val="en-US"/>
        </w:rPr>
      </w:pPr>
      <w:r>
        <w:rPr>
          <w:rFonts w:ascii="STSongti-SC-Bold" w:eastAsia="STSongti-SC-Bold" w:hAnsi="Whitney-Book" w:cs="STSongti-SC-Bold" w:hint="eastAsia"/>
          <w:b/>
          <w:bCs/>
          <w:color w:val="000000"/>
          <w:sz w:val="22"/>
          <w:szCs w:val="22"/>
          <w:lang w:val="en-US"/>
        </w:rPr>
        <w:t>条例</w:t>
      </w:r>
      <w:r>
        <w:rPr>
          <w:rFonts w:ascii="Whitney-Book" w:hAnsi="Whitney-Book" w:cs="Whitney-Book"/>
          <w:color w:val="000000"/>
          <w:sz w:val="21"/>
          <w:szCs w:val="21"/>
          <w:lang w:val="en-US"/>
        </w:rPr>
        <w:t xml:space="preserve">10 </w:t>
      </w:r>
      <w:proofErr w:type="spellStart"/>
      <w:r>
        <w:rPr>
          <w:rFonts w:ascii="STSongti-SC-Regular" w:eastAsia="STSongti-SC-Regular" w:hAnsi="Whitney-Book" w:cs="STSongti-SC-Regular" w:hint="eastAsia"/>
          <w:color w:val="000000"/>
          <w:sz w:val="22"/>
          <w:szCs w:val="22"/>
          <w:lang w:val="en-US"/>
        </w:rPr>
        <w:t>指包含在⽓候债券标准下⾏业标准⾥的特定⾏业的技术标准。项</w:t>
      </w:r>
      <w:proofErr w:type="spellEnd"/>
      <w:r>
        <w:rPr>
          <w:rFonts w:ascii="STSongti-SC-Regular" w:eastAsia="STSongti-SC-Regular" w:hAnsi="Whitney-Book" w:cs="STSongti-SC-Regular" w:hint="eastAsia"/>
          <w:color w:val="000000"/>
          <w:sz w:val="22"/>
          <w:szCs w:val="22"/>
          <w:lang w:val="en-US"/>
        </w:rPr>
        <w:t>⽬</w:t>
      </w:r>
      <w:proofErr w:type="spellStart"/>
      <w:r>
        <w:rPr>
          <w:rFonts w:ascii="STSongti-SC-Regular" w:eastAsia="STSongti-SC-Regular" w:hAnsi="Whitney-Book" w:cs="STSongti-SC-Regular" w:hint="eastAsia"/>
          <w:color w:val="000000"/>
          <w:sz w:val="22"/>
          <w:szCs w:val="22"/>
          <w:lang w:val="en-US"/>
        </w:rPr>
        <w:t>和资产需满</w:t>
      </w:r>
      <w:proofErr w:type="spellEnd"/>
      <w:r>
        <w:rPr>
          <w:rFonts w:ascii="STSongti-SC-Regular" w:eastAsia="STSongti-SC-Regular" w:hAnsi="Whitney-Book" w:cs="STSongti-SC-Regular" w:hint="eastAsia"/>
          <w:color w:val="000000"/>
          <w:sz w:val="22"/>
          <w:szCs w:val="22"/>
          <w:lang w:val="en-US"/>
        </w:rPr>
        <w:t>⾜⼀</w:t>
      </w:r>
      <w:proofErr w:type="spellStart"/>
      <w:r>
        <w:rPr>
          <w:rFonts w:ascii="STSongti-SC-Regular" w:eastAsia="STSongti-SC-Regular" w:hAnsi="Whitney-Book" w:cs="STSongti-SC-Regular" w:hint="eastAsia"/>
          <w:color w:val="000000"/>
          <w:sz w:val="22"/>
          <w:szCs w:val="22"/>
          <w:lang w:val="en-US"/>
        </w:rPr>
        <w:t>定的技术性标准才可被认定为合格。有关各种项⽬和资产的⾏业标准可参考</w:t>
      </w:r>
      <w:proofErr w:type="spellEnd"/>
      <w:r>
        <w:rPr>
          <w:rFonts w:ascii="STSongti-SC-Regular" w:eastAsia="STSongti-SC-Regular" w:hAnsi="Whitney-Book" w:cs="STSongti-SC-Regular" w:hint="eastAsia"/>
          <w:color w:val="000000"/>
          <w:sz w:val="22"/>
          <w:szCs w:val="22"/>
          <w:lang w:val="en-US"/>
        </w:rPr>
        <w:t>⽓</w:t>
      </w:r>
      <w:proofErr w:type="spellStart"/>
      <w:r>
        <w:rPr>
          <w:rFonts w:ascii="STSongti-SC-Regular" w:eastAsia="STSongti-SC-Regular" w:hAnsi="Whitney-Book" w:cs="STSongti-SC-Regular" w:hint="eastAsia"/>
          <w:color w:val="000000"/>
          <w:sz w:val="22"/>
          <w:szCs w:val="22"/>
          <w:lang w:val="en-US"/>
        </w:rPr>
        <w:t>候债券倡议组织官</w:t>
      </w:r>
      <w:proofErr w:type="spellEnd"/>
      <w:r>
        <w:rPr>
          <w:rFonts w:ascii="STSongti-SC-Regular" w:eastAsia="STSongti-SC-Regular" w:hAnsi="Whitney-Book" w:cs="STSongti-SC-Regular" w:hint="eastAsia"/>
          <w:color w:val="000000"/>
          <w:sz w:val="22"/>
          <w:szCs w:val="22"/>
          <w:lang w:val="en-US"/>
        </w:rPr>
        <w:t>⽹。截⽌⽓候债券标准版本</w:t>
      </w:r>
      <w:r>
        <w:rPr>
          <w:rFonts w:ascii="Whitney-Book" w:hAnsi="Whitney-Book" w:cs="Whitney-Book"/>
          <w:color w:val="000000"/>
          <w:sz w:val="22"/>
          <w:szCs w:val="22"/>
          <w:lang w:val="en-US"/>
        </w:rPr>
        <w:t>2.1 (</w:t>
      </w:r>
      <w:proofErr w:type="spellStart"/>
      <w:r>
        <w:rPr>
          <w:rFonts w:ascii="STSongti-SC-Regular" w:eastAsia="STSongti-SC-Regular" w:hAnsi="Whitney-Book" w:cs="STSongti-SC-Regular" w:hint="eastAsia"/>
          <w:color w:val="000000"/>
          <w:sz w:val="22"/>
          <w:szCs w:val="22"/>
          <w:lang w:val="en-US"/>
        </w:rPr>
        <w:t>本⽂件</w:t>
      </w:r>
      <w:proofErr w:type="spellEnd"/>
      <w:r>
        <w:rPr>
          <w:rFonts w:ascii="Whitney-Book" w:hAnsi="Whitney-Book" w:cs="Whitney-Book"/>
          <w:color w:val="000000"/>
          <w:sz w:val="22"/>
          <w:szCs w:val="22"/>
          <w:lang w:val="en-US"/>
        </w:rPr>
        <w:t xml:space="preserve">) </w:t>
      </w:r>
      <w:proofErr w:type="spellStart"/>
      <w:r>
        <w:rPr>
          <w:rFonts w:ascii="STSongti-SC-Regular" w:eastAsia="STSongti-SC-Regular" w:hAnsi="Whitney-Book" w:cs="STSongti-SC-Regular" w:hint="eastAsia"/>
          <w:color w:val="000000"/>
          <w:sz w:val="22"/>
          <w:szCs w:val="22"/>
          <w:lang w:val="en-US"/>
        </w:rPr>
        <w:t>发布时，已有六个⾏业标准可供使</w:t>
      </w:r>
      <w:proofErr w:type="spellEnd"/>
      <w:r>
        <w:rPr>
          <w:rFonts w:ascii="STSongti-SC-Regular" w:eastAsia="STSongti-SC-Regular" w:hAnsi="Whitney-Book" w:cs="STSongti-SC-Regular" w:hint="eastAsia"/>
          <w:color w:val="000000"/>
          <w:sz w:val="22"/>
          <w:szCs w:val="22"/>
          <w:lang w:val="en-US"/>
        </w:rPr>
        <w:t>⽤。</w:t>
      </w:r>
      <w:proofErr w:type="spellStart"/>
      <w:r>
        <w:rPr>
          <w:rFonts w:ascii="STSongti-SC-Regular" w:eastAsia="STSongti-SC-Regular" w:hAnsi="Whitney-Book" w:cs="STSongti-SC-Regular" w:hint="eastAsia"/>
          <w:color w:val="000000"/>
          <w:sz w:val="22"/>
          <w:szCs w:val="22"/>
          <w:lang w:val="en-US"/>
        </w:rPr>
        <w:t>包括以下领域的项⽬和资产</w:t>
      </w:r>
      <w:proofErr w:type="spellEnd"/>
      <w:r>
        <w:rPr>
          <w:rFonts w:ascii="STSongti-SC-Regular" w:eastAsia="STSongti-SC-Regular" w:hAnsi="Whitney-Book" w:cs="STSongti-SC-Regular" w:hint="eastAsia"/>
          <w:color w:val="000000"/>
          <w:sz w:val="22"/>
          <w:szCs w:val="22"/>
          <w:lang w:val="en-US"/>
        </w:rPr>
        <w:t>：</w:t>
      </w:r>
    </w:p>
    <w:p w14:paraId="0D06E014" w14:textId="6D978F0F" w:rsidR="0009113A" w:rsidRDefault="0009113A" w:rsidP="0009113A">
      <w:pPr>
        <w:autoSpaceDE w:val="0"/>
        <w:autoSpaceDN w:val="0"/>
        <w:adjustRightInd w:val="0"/>
        <w:ind w:firstLine="180"/>
        <w:rPr>
          <w:rFonts w:ascii="STSongti-SC-Regular" w:eastAsia="STSongti-SC-Regular" w:hAnsi="Whitney-Book" w:cs="STSongti-SC-Regular"/>
          <w:color w:val="000000"/>
          <w:sz w:val="22"/>
          <w:szCs w:val="22"/>
          <w:lang w:val="en-US"/>
        </w:rPr>
      </w:pPr>
      <w:proofErr w:type="spellStart"/>
      <w:r>
        <w:rPr>
          <w:rFonts w:ascii="STSongti-SC-Regular" w:eastAsia="STSongti-SC-Regular" w:hAnsi="Whitney-Book" w:cs="STSongti-SC-Regular" w:hint="eastAsia"/>
          <w:color w:val="000000"/>
          <w:sz w:val="22"/>
          <w:szCs w:val="22"/>
          <w:lang w:val="en-US"/>
        </w:rPr>
        <w:t>风能、太阳能、地热能、低碳建筑、低碳运输和⽔务基础设施。以下</w:t>
      </w:r>
      <w:proofErr w:type="spellEnd"/>
      <w:r>
        <w:rPr>
          <w:rFonts w:ascii="STSongti-SC-Regular" w:eastAsia="STSongti-SC-Regular" w:hAnsi="Whitney-Book" w:cs="STSongti-SC-Regular" w:hint="eastAsia"/>
          <w:color w:val="000000"/>
          <w:sz w:val="22"/>
          <w:szCs w:val="22"/>
          <w:lang w:val="en-US"/>
        </w:rPr>
        <w:t>⾏业标准正处于后期筹备阶段：⼟地使⽤、⽣物质能、⽔电、海洋资产和⾃然⽔务基础设施。以下⾏业标准的准备⼯作即将开始：⼯业能效、废弃物处理、信息技术和宽带、能源管理</w:t>
      </w:r>
      <w:r>
        <w:rPr>
          <w:rFonts w:ascii="STSongti-SC-Regular" w:eastAsia="STSongti-SC-Regular" w:hAnsi="Whitney-Book" w:cs="STSongti-SC-Regular"/>
          <w:color w:val="000000"/>
          <w:sz w:val="22"/>
          <w:szCs w:val="22"/>
          <w:lang w:val="en-US"/>
        </w:rPr>
        <w:t xml:space="preserve"> </w:t>
      </w:r>
      <w:r>
        <w:rPr>
          <w:rFonts w:ascii="Whitney-Book" w:hAnsi="Whitney-Book" w:cs="Whitney-Book"/>
          <w:color w:val="000000"/>
          <w:sz w:val="22"/>
          <w:szCs w:val="22"/>
          <w:lang w:val="en-US"/>
        </w:rPr>
        <w:t>(</w:t>
      </w:r>
      <w:proofErr w:type="spellStart"/>
      <w:r>
        <w:rPr>
          <w:rFonts w:ascii="STSongti-SC-Regular" w:eastAsia="STSongti-SC-Regular" w:hAnsi="Whitney-Book" w:cs="STSongti-SC-Regular" w:hint="eastAsia"/>
          <w:color w:val="000000"/>
          <w:sz w:val="22"/>
          <w:szCs w:val="22"/>
          <w:lang w:val="en-US"/>
        </w:rPr>
        <w:t>包括电⽹基础设施和智能系统</w:t>
      </w:r>
      <w:proofErr w:type="spellEnd"/>
      <w:r>
        <w:rPr>
          <w:rFonts w:ascii="Whitney-Book" w:hAnsi="Whitney-Book" w:cs="Whitney-Book"/>
          <w:color w:val="000000"/>
          <w:sz w:val="22"/>
          <w:szCs w:val="22"/>
          <w:lang w:val="en-US"/>
        </w:rPr>
        <w:t xml:space="preserve">) </w:t>
      </w:r>
      <w:proofErr w:type="spellStart"/>
      <w:r>
        <w:rPr>
          <w:rFonts w:ascii="STSongti-SC-Regular" w:eastAsia="STSongti-SC-Regular" w:hAnsi="Whitney-Book" w:cs="STSongti-SC-Regular" w:hint="eastAsia"/>
          <w:color w:val="000000"/>
          <w:sz w:val="22"/>
          <w:szCs w:val="22"/>
          <w:lang w:val="en-US"/>
        </w:rPr>
        <w:t>以及⽓候变化适应和恢复基础设施</w:t>
      </w:r>
      <w:proofErr w:type="spellEnd"/>
      <w:r>
        <w:rPr>
          <w:rFonts w:ascii="STSongti-SC-Regular" w:eastAsia="STSongti-SC-Regular" w:hAnsi="Whitney-Book" w:cs="STSongti-SC-Regular" w:hint="eastAsia"/>
          <w:color w:val="000000"/>
          <w:sz w:val="22"/>
          <w:szCs w:val="22"/>
          <w:lang w:val="en-US"/>
        </w:rPr>
        <w:t>。</w:t>
      </w:r>
    </w:p>
    <w:p w14:paraId="6A582144" w14:textId="563B6BB6" w:rsidR="0009113A" w:rsidRDefault="0009113A" w:rsidP="0009113A">
      <w:pPr>
        <w:autoSpaceDE w:val="0"/>
        <w:autoSpaceDN w:val="0"/>
        <w:adjustRightInd w:val="0"/>
        <w:ind w:firstLine="180"/>
      </w:pPr>
    </w:p>
    <w:p w14:paraId="409FFCA2" w14:textId="642A3475" w:rsidR="0009113A" w:rsidRDefault="0009113A" w:rsidP="0009113A">
      <w:pPr>
        <w:autoSpaceDE w:val="0"/>
        <w:autoSpaceDN w:val="0"/>
        <w:adjustRightInd w:val="0"/>
        <w:ind w:firstLine="180"/>
      </w:pPr>
    </w:p>
    <w:tbl>
      <w:tblPr>
        <w:tblStyle w:val="TableGrid"/>
        <w:tblW w:w="10349" w:type="dxa"/>
        <w:tblInd w:w="-743" w:type="dxa"/>
        <w:tblLook w:val="04A0" w:firstRow="1" w:lastRow="0" w:firstColumn="1" w:lastColumn="0" w:noHBand="0" w:noVBand="1"/>
      </w:tblPr>
      <w:tblGrid>
        <w:gridCol w:w="5104"/>
        <w:gridCol w:w="3404"/>
        <w:gridCol w:w="1841"/>
      </w:tblGrid>
      <w:tr w:rsidR="0009113A" w14:paraId="05ED1E35" w14:textId="77777777" w:rsidTr="008200E1">
        <w:trPr>
          <w:trHeight w:val="515"/>
        </w:trPr>
        <w:tc>
          <w:tcPr>
            <w:tcW w:w="10349" w:type="dxa"/>
            <w:gridSpan w:val="3"/>
            <w:shd w:val="clear" w:color="auto" w:fill="99CCFF"/>
          </w:tcPr>
          <w:p w14:paraId="12028676" w14:textId="14845ADB" w:rsidR="0009113A" w:rsidRDefault="0009113A" w:rsidP="008200E1">
            <w:pPr>
              <w:pStyle w:val="TableParagraph"/>
              <w:ind w:right="504"/>
              <w:jc w:val="center"/>
              <w:rPr>
                <w:rFonts w:ascii="Calibri" w:hAnsi="Calibri"/>
                <w:b/>
                <w:color w:val="FFFFFF" w:themeColor="background1"/>
                <w:sz w:val="28"/>
                <w:szCs w:val="28"/>
              </w:rPr>
            </w:pPr>
            <w:r w:rsidRPr="0009113A">
              <w:rPr>
                <w:rFonts w:ascii="Calibri" w:hAnsi="Calibri"/>
                <w:b/>
                <w:color w:val="FFFFFF" w:themeColor="background1"/>
                <w:sz w:val="28"/>
                <w:szCs w:val="28"/>
              </w:rPr>
              <w:t xml:space="preserve">9. </w:t>
            </w:r>
            <w:r w:rsidRPr="0009113A">
              <w:rPr>
                <w:rFonts w:ascii="Microsoft JhengHei" w:eastAsia="Microsoft JhengHei" w:hAnsi="Microsoft JhengHei" w:cs="Microsoft JhengHei" w:hint="eastAsia"/>
                <w:b/>
                <w:color w:val="FFFFFF" w:themeColor="background1"/>
                <w:sz w:val="28"/>
                <w:szCs w:val="28"/>
              </w:rPr>
              <w:t>⽓</w:t>
            </w:r>
            <w:proofErr w:type="spellStart"/>
            <w:r w:rsidRPr="0009113A">
              <w:rPr>
                <w:rFonts w:ascii="Microsoft JhengHei" w:eastAsia="Microsoft JhengHei" w:hAnsi="Microsoft JhengHei" w:cs="Microsoft JhengHei" w:hint="eastAsia"/>
                <w:b/>
                <w:color w:val="FFFFFF" w:themeColor="background1"/>
                <w:sz w:val="28"/>
                <w:szCs w:val="28"/>
              </w:rPr>
              <w:t>候债券分类⽅案</w:t>
            </w:r>
            <w:proofErr w:type="spellEnd"/>
          </w:p>
        </w:tc>
      </w:tr>
      <w:tr w:rsidR="0009113A" w14:paraId="1417E3F3" w14:textId="77777777" w:rsidTr="008200E1">
        <w:trPr>
          <w:trHeight w:val="581"/>
        </w:trPr>
        <w:tc>
          <w:tcPr>
            <w:tcW w:w="5104" w:type="dxa"/>
            <w:shd w:val="clear" w:color="auto" w:fill="99CCFF"/>
          </w:tcPr>
          <w:p w14:paraId="74AC99B6"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sidRPr="00E56099">
              <w:rPr>
                <w:rFonts w:ascii="Calibri" w:hAnsi="Calibri"/>
                <w:b/>
                <w:sz w:val="24"/>
                <w:szCs w:val="24"/>
              </w:rPr>
              <w:t>Climate Bonds Standard Requirement</w:t>
            </w:r>
          </w:p>
        </w:tc>
        <w:tc>
          <w:tcPr>
            <w:tcW w:w="3404" w:type="dxa"/>
            <w:shd w:val="clear" w:color="auto" w:fill="99CCFF"/>
          </w:tcPr>
          <w:p w14:paraId="1C91DFBE"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Findings </w:t>
            </w:r>
          </w:p>
        </w:tc>
        <w:tc>
          <w:tcPr>
            <w:tcW w:w="1841" w:type="dxa"/>
            <w:shd w:val="clear" w:color="auto" w:fill="99CCFF"/>
          </w:tcPr>
          <w:p w14:paraId="234142FC" w14:textId="77777777" w:rsidR="0009113A" w:rsidRPr="008E4CB5" w:rsidRDefault="0009113A" w:rsidP="008200E1">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19B3718D"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Met </w:t>
            </w:r>
          </w:p>
        </w:tc>
      </w:tr>
      <w:tr w:rsidR="0009113A" w:rsidRPr="00E553EB" w14:paraId="06A3CDFA" w14:textId="77777777" w:rsidTr="008200E1">
        <w:tc>
          <w:tcPr>
            <w:tcW w:w="5104" w:type="dxa"/>
          </w:tcPr>
          <w:p w14:paraId="020462ED"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9.1. </w:t>
            </w:r>
            <w:proofErr w:type="spellStart"/>
            <w:r>
              <w:rPr>
                <w:rFonts w:ascii="STSongti-SC-Regular" w:eastAsia="STSongti-SC-Regular" w:hAnsi="Whitney-Book" w:cs="STSongti-SC-Regular" w:hint="eastAsia"/>
                <w:sz w:val="22"/>
                <w:szCs w:val="22"/>
                <w:lang w:val="en-US"/>
              </w:rPr>
              <w:t>由发</w:t>
            </w:r>
            <w:proofErr w:type="spellEnd"/>
            <w:r>
              <w:rPr>
                <w:rFonts w:ascii="STSongti-SC-Regular" w:eastAsia="STSongti-SC-Regular" w:hAnsi="Whitney-Book" w:cs="STSongti-SC-Regular" w:hint="eastAsia"/>
                <w:sz w:val="22"/>
                <w:szCs w:val="22"/>
                <w:lang w:val="en-US"/>
              </w:rPr>
              <w:t>⾏⼈根据条款</w:t>
            </w:r>
            <w:r>
              <w:rPr>
                <w:rFonts w:ascii="Whitney-Book" w:hAnsi="Whitney-Book" w:cs="Whitney-Book"/>
                <w:sz w:val="22"/>
                <w:szCs w:val="22"/>
                <w:lang w:val="en-US"/>
              </w:rPr>
              <w:t xml:space="preserve">1.3 </w:t>
            </w:r>
            <w:r>
              <w:rPr>
                <w:rFonts w:ascii="STSongti-SC-Regular" w:eastAsia="STSongti-SC-Regular" w:hAnsi="Whitney-Book" w:cs="STSongti-SC-Regular" w:hint="eastAsia"/>
                <w:sz w:val="22"/>
                <w:szCs w:val="22"/>
                <w:lang w:val="en-US"/>
              </w:rPr>
              <w:t>和条款</w:t>
            </w:r>
            <w:r>
              <w:rPr>
                <w:rFonts w:ascii="Whitney-Book" w:hAnsi="Whitney-Book" w:cs="Whitney-Book"/>
                <w:sz w:val="22"/>
                <w:szCs w:val="22"/>
                <w:lang w:val="en-US"/>
              </w:rPr>
              <w:t xml:space="preserve">4.2 </w:t>
            </w:r>
            <w:proofErr w:type="spellStart"/>
            <w:r>
              <w:rPr>
                <w:rFonts w:ascii="STSongti-SC-Regular" w:eastAsia="STSongti-SC-Regular" w:hAnsi="Whitney-Book" w:cs="STSongti-SC-Regular" w:hint="eastAsia"/>
                <w:sz w:val="22"/>
                <w:szCs w:val="22"/>
                <w:lang w:val="en-US"/>
              </w:rPr>
              <w:t>所确认的指定项⽬和资产应归属于最新的⽓候债券分类所包含</w:t>
            </w:r>
            <w:proofErr w:type="spellEnd"/>
          </w:p>
          <w:p w14:paraId="69605868" w14:textId="7D53E009" w:rsidR="0009113A" w:rsidRPr="00E553EB" w:rsidRDefault="0009113A" w:rsidP="0009113A">
            <w:pPr>
              <w:rPr>
                <w:rFonts w:ascii="Calibri" w:hAnsi="Calibri"/>
              </w:rPr>
            </w:pPr>
            <w:proofErr w:type="spellStart"/>
            <w:r>
              <w:rPr>
                <w:rFonts w:ascii="STSongti-SC-Regular" w:eastAsia="STSongti-SC-Regular" w:hAnsi="Whitney-Book" w:cs="STSongti-SC-Regular" w:hint="eastAsia"/>
                <w:sz w:val="22"/>
                <w:szCs w:val="22"/>
                <w:lang w:val="en-US"/>
              </w:rPr>
              <w:t>的某⼀个或⼏个投资领域（详见附录</w:t>
            </w:r>
            <w:r>
              <w:rPr>
                <w:rFonts w:ascii="Whitney-Book" w:hAnsi="Whitney-Book" w:cs="Whitney-Book"/>
                <w:sz w:val="22"/>
                <w:szCs w:val="22"/>
                <w:lang w:val="en-US"/>
              </w:rPr>
              <w:t>A</w:t>
            </w:r>
            <w:proofErr w:type="spellEnd"/>
            <w:r>
              <w:rPr>
                <w:rFonts w:ascii="STSongti-SC-Regular" w:eastAsia="STSongti-SC-Regular" w:hAnsi="Whitney-Book" w:cs="STSongti-SC-Regular" w:hint="eastAsia"/>
                <w:sz w:val="22"/>
                <w:szCs w:val="22"/>
                <w:lang w:val="en-US"/>
              </w:rPr>
              <w:t>）。</w:t>
            </w:r>
          </w:p>
        </w:tc>
        <w:tc>
          <w:tcPr>
            <w:tcW w:w="3404" w:type="dxa"/>
          </w:tcPr>
          <w:p w14:paraId="302C7C01" w14:textId="77777777" w:rsidR="0009113A" w:rsidRPr="00E553EB" w:rsidRDefault="0009113A" w:rsidP="008200E1">
            <w:pPr>
              <w:rPr>
                <w:rFonts w:ascii="Calibri" w:hAnsi="Calibri"/>
              </w:rPr>
            </w:pPr>
          </w:p>
        </w:tc>
        <w:tc>
          <w:tcPr>
            <w:tcW w:w="1841" w:type="dxa"/>
          </w:tcPr>
          <w:p w14:paraId="359DED42" w14:textId="77777777" w:rsidR="0009113A" w:rsidRPr="00E553EB" w:rsidRDefault="0009113A" w:rsidP="008200E1">
            <w:pPr>
              <w:rPr>
                <w:rFonts w:ascii="Calibri" w:hAnsi="Calibri"/>
              </w:rPr>
            </w:pPr>
          </w:p>
        </w:tc>
      </w:tr>
    </w:tbl>
    <w:p w14:paraId="422B4BAA" w14:textId="506B8100" w:rsidR="0009113A" w:rsidRDefault="0009113A" w:rsidP="0009113A">
      <w:pPr>
        <w:autoSpaceDE w:val="0"/>
        <w:autoSpaceDN w:val="0"/>
        <w:adjustRightInd w:val="0"/>
        <w:ind w:firstLine="180"/>
      </w:pPr>
    </w:p>
    <w:tbl>
      <w:tblPr>
        <w:tblStyle w:val="TableGrid"/>
        <w:tblW w:w="10349" w:type="dxa"/>
        <w:tblInd w:w="-743" w:type="dxa"/>
        <w:tblLook w:val="04A0" w:firstRow="1" w:lastRow="0" w:firstColumn="1" w:lastColumn="0" w:noHBand="0" w:noVBand="1"/>
      </w:tblPr>
      <w:tblGrid>
        <w:gridCol w:w="5104"/>
        <w:gridCol w:w="3404"/>
        <w:gridCol w:w="1841"/>
      </w:tblGrid>
      <w:tr w:rsidR="0009113A" w14:paraId="007EA5C9" w14:textId="77777777" w:rsidTr="008200E1">
        <w:trPr>
          <w:trHeight w:val="515"/>
        </w:trPr>
        <w:tc>
          <w:tcPr>
            <w:tcW w:w="10349" w:type="dxa"/>
            <w:gridSpan w:val="3"/>
            <w:shd w:val="clear" w:color="auto" w:fill="99CCFF"/>
          </w:tcPr>
          <w:p w14:paraId="1A065885" w14:textId="2E894A6D" w:rsidR="0009113A" w:rsidRDefault="0009113A" w:rsidP="008200E1">
            <w:pPr>
              <w:pStyle w:val="TableParagraph"/>
              <w:ind w:right="504"/>
              <w:jc w:val="center"/>
              <w:rPr>
                <w:rFonts w:ascii="Calibri" w:hAnsi="Calibri"/>
                <w:b/>
                <w:color w:val="FFFFFF" w:themeColor="background1"/>
                <w:sz w:val="28"/>
                <w:szCs w:val="28"/>
              </w:rPr>
            </w:pPr>
            <w:r w:rsidRPr="0009113A">
              <w:rPr>
                <w:rFonts w:ascii="Calibri" w:hAnsi="Calibri"/>
                <w:b/>
                <w:color w:val="FFFFFF" w:themeColor="background1"/>
                <w:sz w:val="28"/>
                <w:szCs w:val="28"/>
              </w:rPr>
              <w:t xml:space="preserve">10. </w:t>
            </w:r>
            <w:proofErr w:type="spellStart"/>
            <w:r w:rsidRPr="0009113A">
              <w:rPr>
                <w:rFonts w:ascii="Microsoft JhengHei" w:eastAsia="Microsoft JhengHei" w:hAnsi="Microsoft JhengHei" w:cs="Microsoft JhengHei" w:hint="eastAsia"/>
                <w:b/>
                <w:color w:val="FFFFFF" w:themeColor="background1"/>
                <w:sz w:val="28"/>
                <w:szCs w:val="28"/>
              </w:rPr>
              <w:t>技术标准</w:t>
            </w:r>
            <w:proofErr w:type="spellEnd"/>
          </w:p>
        </w:tc>
      </w:tr>
      <w:tr w:rsidR="0009113A" w14:paraId="3D9C4940" w14:textId="77777777" w:rsidTr="008200E1">
        <w:trPr>
          <w:trHeight w:val="581"/>
        </w:trPr>
        <w:tc>
          <w:tcPr>
            <w:tcW w:w="5104" w:type="dxa"/>
            <w:shd w:val="clear" w:color="auto" w:fill="99CCFF"/>
          </w:tcPr>
          <w:p w14:paraId="15AABDBB"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sidRPr="00E56099">
              <w:rPr>
                <w:rFonts w:ascii="Calibri" w:hAnsi="Calibri"/>
                <w:b/>
                <w:sz w:val="24"/>
                <w:szCs w:val="24"/>
              </w:rPr>
              <w:t>Climate Bonds Standard Requirement</w:t>
            </w:r>
          </w:p>
        </w:tc>
        <w:tc>
          <w:tcPr>
            <w:tcW w:w="3404" w:type="dxa"/>
            <w:shd w:val="clear" w:color="auto" w:fill="99CCFF"/>
          </w:tcPr>
          <w:p w14:paraId="523D5AC4"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Findings </w:t>
            </w:r>
          </w:p>
        </w:tc>
        <w:tc>
          <w:tcPr>
            <w:tcW w:w="1841" w:type="dxa"/>
            <w:shd w:val="clear" w:color="auto" w:fill="99CCFF"/>
          </w:tcPr>
          <w:p w14:paraId="16D00083" w14:textId="77777777" w:rsidR="0009113A" w:rsidRPr="008E4CB5" w:rsidRDefault="0009113A" w:rsidP="008200E1">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44B06194"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Met </w:t>
            </w:r>
          </w:p>
        </w:tc>
      </w:tr>
      <w:tr w:rsidR="0009113A" w:rsidRPr="00E553EB" w14:paraId="2E8D4071" w14:textId="77777777" w:rsidTr="008200E1">
        <w:tc>
          <w:tcPr>
            <w:tcW w:w="5104" w:type="dxa"/>
          </w:tcPr>
          <w:p w14:paraId="1304A61A"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10.1. </w:t>
            </w:r>
            <w:proofErr w:type="spellStart"/>
            <w:r>
              <w:rPr>
                <w:rFonts w:ascii="STSongti-SC-Regular" w:eastAsia="STSongti-SC-Regular" w:hAnsi="Whitney-Book" w:cs="STSongti-SC-Regular" w:hint="eastAsia"/>
                <w:sz w:val="22"/>
                <w:szCs w:val="22"/>
                <w:lang w:val="en-US"/>
              </w:rPr>
              <w:t>指定项⽬和资产应满⾜最新</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业标准⽂件提供的特定合规标准</w:t>
            </w:r>
            <w:proofErr w:type="spellEnd"/>
            <w:r>
              <w:rPr>
                <w:rFonts w:ascii="STSongti-SC-Regular" w:eastAsia="STSongti-SC-Regular" w:hAnsi="Whitney-Book" w:cs="STSongti-SC-Regular" w:hint="eastAsia"/>
                <w:sz w:val="22"/>
                <w:szCs w:val="22"/>
                <w:lang w:val="en-US"/>
              </w:rPr>
              <w:t>。</w:t>
            </w:r>
          </w:p>
          <w:p w14:paraId="06F0C8A6" w14:textId="587B7357" w:rsidR="0009113A" w:rsidRDefault="0009113A" w:rsidP="0009113A">
            <w:pPr>
              <w:autoSpaceDE w:val="0"/>
              <w:autoSpaceDN w:val="0"/>
              <w:adjustRightInd w:val="0"/>
              <w:rPr>
                <w:rFonts w:ascii="STSongti-SC-Regular" w:eastAsia="STSongti-SC-Regular" w:cs="STSongti-SC-Regular"/>
                <w:sz w:val="22"/>
                <w:szCs w:val="22"/>
                <w:lang w:val="en-US"/>
              </w:rPr>
            </w:pPr>
            <w:proofErr w:type="spellStart"/>
            <w:r>
              <w:rPr>
                <w:rFonts w:ascii="STSongti-SC-Regular" w:eastAsia="STSongti-SC-Regular" w:cs="STSongti-SC-Regular" w:hint="eastAsia"/>
                <w:sz w:val="22"/>
                <w:szCs w:val="22"/>
                <w:lang w:val="en-US"/>
              </w:rPr>
              <w:t>注：所有⾏业标准通过技术⼯作组的开发</w:t>
            </w:r>
            <w:proofErr w:type="spellEnd"/>
            <w:r>
              <w:rPr>
                <w:rFonts w:ascii="STSongti-SC-Regular" w:eastAsia="STSongti-SC-Regular" w:cs="STSongti-SC-Regular" w:hint="eastAsia"/>
                <w:sz w:val="22"/>
                <w:szCs w:val="22"/>
                <w:lang w:val="en-US"/>
              </w:rPr>
              <w:t>、⾏</w:t>
            </w:r>
            <w:proofErr w:type="spellStart"/>
            <w:r>
              <w:rPr>
                <w:rFonts w:ascii="STSongti-SC-Regular" w:eastAsia="STSongti-SC-Regular" w:cs="STSongti-SC-Regular" w:hint="eastAsia"/>
                <w:sz w:val="22"/>
                <w:szCs w:val="22"/>
                <w:lang w:val="en-US"/>
              </w:rPr>
              <w:t>业⼯作组的检测和利益相关⽅的咨询后制定，并</w:t>
            </w:r>
            <w:proofErr w:type="spellEnd"/>
          </w:p>
          <w:p w14:paraId="5E4E3629" w14:textId="77777777" w:rsidR="0009113A" w:rsidRDefault="0009113A" w:rsidP="0009113A">
            <w:pPr>
              <w:autoSpaceDE w:val="0"/>
              <w:autoSpaceDN w:val="0"/>
              <w:adjustRightInd w:val="0"/>
              <w:rPr>
                <w:rFonts w:ascii="STSongti-SC-Regular" w:eastAsia="STSongti-SC-Regular" w:cs="STSongti-SC-Regular"/>
                <w:sz w:val="22"/>
                <w:szCs w:val="22"/>
                <w:lang w:val="en-US"/>
              </w:rPr>
            </w:pPr>
            <w:proofErr w:type="spellStart"/>
            <w:r>
              <w:rPr>
                <w:rFonts w:ascii="STSongti-SC-Regular" w:eastAsia="STSongti-SC-Regular" w:cs="STSongti-SC-Regular" w:hint="eastAsia"/>
                <w:sz w:val="22"/>
                <w:szCs w:val="22"/>
                <w:lang w:val="en-US"/>
              </w:rPr>
              <w:t>通过⽓候债券标准委员会批准成</w:t>
            </w:r>
            <w:proofErr w:type="spellEnd"/>
            <w:r>
              <w:rPr>
                <w:rFonts w:ascii="STSongti-SC-Regular" w:eastAsia="STSongti-SC-Regular" w:cs="STSongti-SC-Regular" w:hint="eastAsia"/>
                <w:sz w:val="22"/>
                <w:szCs w:val="22"/>
                <w:lang w:val="en-US"/>
              </w:rPr>
              <w:t>⽴。</w:t>
            </w:r>
            <w:proofErr w:type="spellStart"/>
            <w:r>
              <w:rPr>
                <w:rFonts w:ascii="STSongti-SC-Regular" w:eastAsia="STSongti-SC-Regular" w:cs="STSongti-SC-Regular" w:hint="eastAsia"/>
                <w:sz w:val="22"/>
                <w:szCs w:val="22"/>
                <w:lang w:val="en-US"/>
              </w:rPr>
              <w:t>更多关于⾏业标准的开发过程可在⽓候债券倡议组织官</w:t>
            </w:r>
            <w:proofErr w:type="spellEnd"/>
            <w:r>
              <w:rPr>
                <w:rFonts w:ascii="STSongti-SC-Regular" w:eastAsia="STSongti-SC-Regular" w:cs="STSongti-SC-Regular" w:hint="eastAsia"/>
                <w:sz w:val="22"/>
                <w:szCs w:val="22"/>
                <w:lang w:val="en-US"/>
              </w:rPr>
              <w:t>⽹</w:t>
            </w:r>
          </w:p>
          <w:p w14:paraId="7980A306" w14:textId="77777777" w:rsidR="0009113A" w:rsidRDefault="0009113A" w:rsidP="0009113A">
            <w:pPr>
              <w:autoSpaceDE w:val="0"/>
              <w:autoSpaceDN w:val="0"/>
              <w:adjustRightInd w:val="0"/>
              <w:rPr>
                <w:rFonts w:ascii="STSongti-SC-Regular" w:eastAsia="STSongti-SC-Regular" w:cs="STSongti-SC-Regular"/>
                <w:sz w:val="22"/>
                <w:szCs w:val="22"/>
                <w:lang w:val="en-US"/>
              </w:rPr>
            </w:pPr>
            <w:proofErr w:type="spellStart"/>
            <w:r>
              <w:rPr>
                <w:rFonts w:ascii="STSongti-SC-Regular" w:eastAsia="STSongti-SC-Regular" w:cs="STSongti-SC-Regular" w:hint="eastAsia"/>
                <w:sz w:val="22"/>
                <w:szCs w:val="22"/>
                <w:lang w:val="en-US"/>
              </w:rPr>
              <w:t>上获取</w:t>
            </w:r>
            <w:proofErr w:type="spellEnd"/>
            <w:r>
              <w:rPr>
                <w:rFonts w:ascii="STSongti-SC-Regular" w:eastAsia="STSongti-SC-Regular" w:cs="STSongti-SC-Regular" w:hint="eastAsia"/>
                <w:sz w:val="22"/>
                <w:szCs w:val="22"/>
                <w:lang w:val="en-US"/>
              </w:rPr>
              <w:t>。</w:t>
            </w:r>
          </w:p>
          <w:p w14:paraId="7FDF7ECA" w14:textId="2D4C9F95" w:rsidR="0009113A" w:rsidRPr="00E553EB" w:rsidRDefault="0009113A" w:rsidP="0009113A">
            <w:pPr>
              <w:rPr>
                <w:rFonts w:ascii="Calibri" w:hAnsi="Calibri"/>
              </w:rPr>
            </w:pPr>
          </w:p>
        </w:tc>
        <w:tc>
          <w:tcPr>
            <w:tcW w:w="3404" w:type="dxa"/>
          </w:tcPr>
          <w:p w14:paraId="3C101733" w14:textId="77777777" w:rsidR="0009113A" w:rsidRPr="00E553EB" w:rsidRDefault="0009113A" w:rsidP="008200E1">
            <w:pPr>
              <w:rPr>
                <w:rFonts w:ascii="Calibri" w:hAnsi="Calibri"/>
              </w:rPr>
            </w:pPr>
          </w:p>
        </w:tc>
        <w:tc>
          <w:tcPr>
            <w:tcW w:w="1841" w:type="dxa"/>
          </w:tcPr>
          <w:p w14:paraId="5056D745" w14:textId="77777777" w:rsidR="0009113A" w:rsidRPr="00E553EB" w:rsidRDefault="0009113A" w:rsidP="008200E1">
            <w:pPr>
              <w:rPr>
                <w:rFonts w:ascii="Calibri" w:hAnsi="Calibri"/>
              </w:rPr>
            </w:pPr>
          </w:p>
        </w:tc>
      </w:tr>
      <w:tr w:rsidR="0009113A" w:rsidRPr="00E553EB" w14:paraId="41A4931C" w14:textId="77777777" w:rsidTr="008200E1">
        <w:tc>
          <w:tcPr>
            <w:tcW w:w="5104" w:type="dxa"/>
          </w:tcPr>
          <w:p w14:paraId="6F92DE4F" w14:textId="77777777" w:rsidR="0009113A" w:rsidRDefault="0009113A" w:rsidP="0009113A">
            <w:pPr>
              <w:autoSpaceDE w:val="0"/>
              <w:autoSpaceDN w:val="0"/>
              <w:adjustRightInd w:val="0"/>
              <w:rPr>
                <w:rFonts w:ascii="STSongti-SC-Regular" w:eastAsia="STSongti-SC-Regular" w:cs="STSongti-SC-Regular"/>
                <w:sz w:val="22"/>
                <w:szCs w:val="22"/>
                <w:lang w:val="en-US"/>
              </w:rPr>
            </w:pPr>
            <w:r>
              <w:rPr>
                <w:rFonts w:ascii="Whitney-Book" w:eastAsia="STSongti-SC-Regular" w:hAnsi="Whitney-Book" w:cs="Whitney-Book"/>
                <w:sz w:val="22"/>
                <w:szCs w:val="22"/>
                <w:lang w:val="en-US"/>
              </w:rPr>
              <w:t xml:space="preserve">10.2. </w:t>
            </w:r>
            <w:proofErr w:type="spellStart"/>
            <w:r>
              <w:rPr>
                <w:rFonts w:ascii="STSongti-SC-Regular" w:eastAsia="STSongti-SC-Regular" w:cs="STSongti-SC-Regular" w:hint="eastAsia"/>
                <w:sz w:val="22"/>
                <w:szCs w:val="22"/>
                <w:lang w:val="en-US"/>
              </w:rPr>
              <w:t>当募集资⾦投放⾄涉及多个⾏业标准的指定项⽬和资产（如投资组合包括太阳能和风能投资</w:t>
            </w:r>
            <w:proofErr w:type="spellEnd"/>
            <w:r>
              <w:rPr>
                <w:rFonts w:ascii="STSongti-SC-Regular" w:eastAsia="STSongti-SC-Regular" w:cs="STSongti-SC-Regular" w:hint="eastAsia"/>
                <w:sz w:val="22"/>
                <w:szCs w:val="22"/>
                <w:lang w:val="en-US"/>
              </w:rPr>
              <w:t>）</w:t>
            </w:r>
          </w:p>
          <w:p w14:paraId="3E86885E" w14:textId="70676BF7" w:rsidR="0009113A" w:rsidRDefault="0009113A" w:rsidP="0009113A">
            <w:pPr>
              <w:autoSpaceDE w:val="0"/>
              <w:autoSpaceDN w:val="0"/>
              <w:adjustRightInd w:val="0"/>
              <w:rPr>
                <w:rFonts w:ascii="Whitney-Book" w:hAnsi="Whitney-Book" w:cs="Whitney-Book"/>
                <w:sz w:val="22"/>
                <w:szCs w:val="22"/>
                <w:lang w:val="en-US"/>
              </w:rPr>
            </w:pPr>
            <w:proofErr w:type="spellStart"/>
            <w:r>
              <w:rPr>
                <w:rFonts w:ascii="STSongti-SC-Regular" w:eastAsia="STSongti-SC-Regular" w:cs="STSongti-SC-Regular" w:hint="eastAsia"/>
                <w:sz w:val="22"/>
                <w:szCs w:val="22"/>
                <w:lang w:val="en-US"/>
              </w:rPr>
              <w:lastRenderedPageBreak/>
              <w:t>时，每⼀个指定项⽬和资产都应符合相应的⾏业标准所列出的合规要求</w:t>
            </w:r>
            <w:proofErr w:type="spellEnd"/>
            <w:r>
              <w:rPr>
                <w:rFonts w:ascii="STSongti-SC-Regular" w:eastAsia="STSongti-SC-Regular" w:cs="STSongti-SC-Regular" w:hint="eastAsia"/>
                <w:sz w:val="22"/>
                <w:szCs w:val="22"/>
                <w:lang w:val="en-US"/>
              </w:rPr>
              <w:t>。</w:t>
            </w:r>
          </w:p>
        </w:tc>
        <w:tc>
          <w:tcPr>
            <w:tcW w:w="3404" w:type="dxa"/>
          </w:tcPr>
          <w:p w14:paraId="4A2A500B" w14:textId="77777777" w:rsidR="0009113A" w:rsidRPr="00E553EB" w:rsidRDefault="0009113A" w:rsidP="008200E1">
            <w:pPr>
              <w:rPr>
                <w:rFonts w:ascii="Calibri" w:hAnsi="Calibri"/>
              </w:rPr>
            </w:pPr>
          </w:p>
        </w:tc>
        <w:tc>
          <w:tcPr>
            <w:tcW w:w="1841" w:type="dxa"/>
          </w:tcPr>
          <w:p w14:paraId="544DA44A" w14:textId="77777777" w:rsidR="0009113A" w:rsidRPr="00E553EB" w:rsidRDefault="0009113A" w:rsidP="008200E1">
            <w:pPr>
              <w:rPr>
                <w:rFonts w:ascii="Calibri" w:hAnsi="Calibri"/>
              </w:rPr>
            </w:pPr>
          </w:p>
        </w:tc>
      </w:tr>
    </w:tbl>
    <w:p w14:paraId="4740BFAE" w14:textId="577E8DE6" w:rsidR="0009113A" w:rsidRDefault="0009113A" w:rsidP="0009113A">
      <w:pPr>
        <w:autoSpaceDE w:val="0"/>
        <w:autoSpaceDN w:val="0"/>
        <w:adjustRightInd w:val="0"/>
        <w:ind w:firstLine="180"/>
      </w:pPr>
    </w:p>
    <w:p w14:paraId="741D0FCB" w14:textId="747B604A" w:rsidR="0009113A" w:rsidRDefault="0009113A" w:rsidP="000172B6">
      <w:pPr>
        <w:rPr>
          <w:rFonts w:ascii="STSongti-SC-Bold" w:eastAsia="STSongti-SC-Bold" w:hAnsi="Whitney-Bold" w:cs="STSongti-SC-Bold"/>
          <w:b/>
          <w:bCs/>
          <w:color w:val="365F92"/>
          <w:sz w:val="22"/>
          <w:szCs w:val="22"/>
          <w:lang w:val="en-US"/>
        </w:rPr>
      </w:pPr>
      <w:r>
        <w:rPr>
          <w:rFonts w:ascii="Whitney-Bold" w:hAnsi="Whitney-Bold" w:cs="Whitney-Bold"/>
          <w:b/>
          <w:bCs/>
          <w:color w:val="365F92"/>
          <w:sz w:val="22"/>
          <w:szCs w:val="22"/>
          <w:lang w:val="en-US"/>
        </w:rPr>
        <w:t xml:space="preserve"> </w:t>
      </w:r>
      <w:proofErr w:type="spellStart"/>
      <w:r>
        <w:rPr>
          <w:rFonts w:ascii="STSongti-SC-Bold" w:eastAsia="STSongti-SC-Bold" w:hAnsi="Whitney-Bold" w:cs="STSongti-SC-Bold" w:hint="eastAsia"/>
          <w:b/>
          <w:bCs/>
          <w:color w:val="365F92"/>
          <w:sz w:val="22"/>
          <w:szCs w:val="22"/>
          <w:lang w:val="en-US"/>
        </w:rPr>
        <w:t>部分</w:t>
      </w:r>
      <w:proofErr w:type="spellEnd"/>
      <w:r>
        <w:rPr>
          <w:rFonts w:ascii="Whitney-Book" w:hAnsi="Whitney-Book" w:cs="Whitney-Book"/>
          <w:color w:val="365F92"/>
          <w:sz w:val="21"/>
          <w:szCs w:val="21"/>
          <w:lang w:val="en-US"/>
        </w:rPr>
        <w:t xml:space="preserve">: </w:t>
      </w:r>
      <w:proofErr w:type="spellStart"/>
      <w:r>
        <w:rPr>
          <w:rFonts w:ascii="STSongti-SC-Bold" w:eastAsia="STSongti-SC-Bold" w:hAnsi="Whitney-Bold" w:cs="STSongti-SC-Bold" w:hint="eastAsia"/>
          <w:b/>
          <w:bCs/>
          <w:color w:val="365F92"/>
          <w:sz w:val="22"/>
          <w:szCs w:val="22"/>
          <w:lang w:val="en-US"/>
        </w:rPr>
        <w:t>针对特定债券类型的要求</w:t>
      </w:r>
      <w:proofErr w:type="spellEnd"/>
    </w:p>
    <w:p w14:paraId="2D16A00D" w14:textId="25F48F91" w:rsidR="0009113A" w:rsidRDefault="0009113A" w:rsidP="0009113A">
      <w:pPr>
        <w:autoSpaceDE w:val="0"/>
        <w:autoSpaceDN w:val="0"/>
        <w:adjustRightInd w:val="0"/>
        <w:ind w:firstLine="270"/>
        <w:rPr>
          <w:rFonts w:ascii="STSongti-SC-Regular" w:eastAsia="STSongti-SC-Regular" w:hAnsi="Whitney-Bold" w:cs="STSongti-SC-Regular"/>
          <w:color w:val="000000"/>
          <w:sz w:val="22"/>
          <w:szCs w:val="22"/>
          <w:lang w:val="en-US"/>
        </w:rPr>
      </w:pPr>
      <w:r>
        <w:rPr>
          <w:rFonts w:ascii="STSongti-SC-Regular" w:eastAsia="STSongti-SC-Regular" w:hAnsi="Whitney-Bold" w:cs="STSongti-SC-Regular" w:hint="eastAsia"/>
          <w:color w:val="000000"/>
          <w:sz w:val="22"/>
          <w:szCs w:val="22"/>
          <w:lang w:val="en-US"/>
        </w:rPr>
        <w:t>这部分的⽓候债券标准阐述了适⽤于不同种类债券的要求。债券种类的定义可参见⽓候债券标准的定义部分。下表具体列出了针对每种特定债券的要求。不同的要求适⽤于不同类型的债券，并解决不同债券所对应的风险。</w:t>
      </w:r>
    </w:p>
    <w:p w14:paraId="323464D3" w14:textId="1F0CC081" w:rsidR="0009113A" w:rsidRDefault="0009113A" w:rsidP="0009113A">
      <w:pPr>
        <w:autoSpaceDE w:val="0"/>
        <w:autoSpaceDN w:val="0"/>
        <w:adjustRightInd w:val="0"/>
        <w:rPr>
          <w:rFonts w:ascii="STSongti-SC-Regular" w:eastAsia="STSongti-SC-Regular" w:hAnsi="Whitney-Bold" w:cs="STSongti-SC-Regular"/>
          <w:color w:val="000000"/>
          <w:sz w:val="22"/>
          <w:szCs w:val="22"/>
          <w:lang w:val="en-US"/>
        </w:rPr>
      </w:pPr>
    </w:p>
    <w:tbl>
      <w:tblPr>
        <w:tblStyle w:val="TableGrid"/>
        <w:tblW w:w="10349" w:type="dxa"/>
        <w:tblInd w:w="-743" w:type="dxa"/>
        <w:tblLook w:val="04A0" w:firstRow="1" w:lastRow="0" w:firstColumn="1" w:lastColumn="0" w:noHBand="0" w:noVBand="1"/>
      </w:tblPr>
      <w:tblGrid>
        <w:gridCol w:w="5104"/>
        <w:gridCol w:w="3404"/>
        <w:gridCol w:w="1841"/>
      </w:tblGrid>
      <w:tr w:rsidR="0009113A" w14:paraId="3D78D2E8" w14:textId="77777777" w:rsidTr="008200E1">
        <w:trPr>
          <w:trHeight w:val="515"/>
        </w:trPr>
        <w:tc>
          <w:tcPr>
            <w:tcW w:w="10349" w:type="dxa"/>
            <w:gridSpan w:val="3"/>
            <w:shd w:val="clear" w:color="auto" w:fill="99CCFF"/>
          </w:tcPr>
          <w:p w14:paraId="7770CD17" w14:textId="79533FC1" w:rsidR="0009113A" w:rsidRDefault="0009113A" w:rsidP="008200E1">
            <w:pPr>
              <w:pStyle w:val="TableParagraph"/>
              <w:ind w:right="504"/>
              <w:jc w:val="center"/>
              <w:rPr>
                <w:rFonts w:ascii="Calibri" w:hAnsi="Calibri"/>
                <w:b/>
                <w:color w:val="FFFFFF" w:themeColor="background1"/>
                <w:sz w:val="28"/>
                <w:szCs w:val="28"/>
              </w:rPr>
            </w:pPr>
            <w:r w:rsidRPr="0009113A">
              <w:rPr>
                <w:rFonts w:ascii="Calibri" w:hAnsi="Calibri"/>
                <w:b/>
                <w:color w:val="FFFFFF" w:themeColor="background1"/>
                <w:sz w:val="28"/>
                <w:szCs w:val="28"/>
              </w:rPr>
              <w:t>1</w:t>
            </w:r>
            <w:r>
              <w:rPr>
                <w:rFonts w:ascii="Calibri" w:hAnsi="Calibri"/>
                <w:b/>
                <w:color w:val="FFFFFF" w:themeColor="background1"/>
                <w:sz w:val="28"/>
                <w:szCs w:val="28"/>
              </w:rPr>
              <w:t>1</w:t>
            </w:r>
            <w:r w:rsidRPr="0009113A">
              <w:rPr>
                <w:rFonts w:ascii="Calibri" w:hAnsi="Calibri"/>
                <w:b/>
                <w:color w:val="FFFFFF" w:themeColor="background1"/>
                <w:sz w:val="28"/>
                <w:szCs w:val="28"/>
              </w:rPr>
              <w:t xml:space="preserve">. </w:t>
            </w:r>
            <w:proofErr w:type="spellStart"/>
            <w:r w:rsidRPr="0009113A">
              <w:rPr>
                <w:rFonts w:ascii="Microsoft JhengHei" w:eastAsia="Microsoft JhengHei" w:hAnsi="Microsoft JhengHei" w:cs="Microsoft JhengHei" w:hint="eastAsia"/>
                <w:b/>
                <w:color w:val="FFFFFF" w:themeColor="background1"/>
                <w:sz w:val="28"/>
                <w:szCs w:val="28"/>
              </w:rPr>
              <w:t>技术标准</w:t>
            </w:r>
            <w:proofErr w:type="spellEnd"/>
          </w:p>
        </w:tc>
      </w:tr>
      <w:tr w:rsidR="0009113A" w14:paraId="7F52BEE8" w14:textId="77777777" w:rsidTr="008200E1">
        <w:trPr>
          <w:trHeight w:val="581"/>
        </w:trPr>
        <w:tc>
          <w:tcPr>
            <w:tcW w:w="5104" w:type="dxa"/>
            <w:shd w:val="clear" w:color="auto" w:fill="99CCFF"/>
          </w:tcPr>
          <w:p w14:paraId="5F3FE951"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sidRPr="00E56099">
              <w:rPr>
                <w:rFonts w:ascii="Calibri" w:hAnsi="Calibri"/>
                <w:b/>
                <w:sz w:val="24"/>
                <w:szCs w:val="24"/>
              </w:rPr>
              <w:t>Climate Bonds Standard Requirement</w:t>
            </w:r>
          </w:p>
        </w:tc>
        <w:tc>
          <w:tcPr>
            <w:tcW w:w="3404" w:type="dxa"/>
            <w:shd w:val="clear" w:color="auto" w:fill="99CCFF"/>
          </w:tcPr>
          <w:p w14:paraId="31E6BCDE"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Findings </w:t>
            </w:r>
          </w:p>
        </w:tc>
        <w:tc>
          <w:tcPr>
            <w:tcW w:w="1841" w:type="dxa"/>
            <w:shd w:val="clear" w:color="auto" w:fill="99CCFF"/>
          </w:tcPr>
          <w:p w14:paraId="7BE84E76" w14:textId="77777777" w:rsidR="0009113A" w:rsidRPr="008E4CB5" w:rsidRDefault="0009113A" w:rsidP="008200E1">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1A16FF74"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Met </w:t>
            </w:r>
          </w:p>
        </w:tc>
      </w:tr>
      <w:tr w:rsidR="0009113A" w:rsidRPr="00E553EB" w14:paraId="1269171F" w14:textId="77777777" w:rsidTr="008200E1">
        <w:tc>
          <w:tcPr>
            <w:tcW w:w="5104" w:type="dxa"/>
          </w:tcPr>
          <w:p w14:paraId="49FBC39D"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11.1. </w:t>
            </w:r>
            <w:proofErr w:type="spellStart"/>
            <w:r>
              <w:rPr>
                <w:rFonts w:ascii="STSongti-SC-Regular" w:eastAsia="STSongti-SC-Regular" w:hAnsi="Whitney-Book" w:cs="STSongti-SC-Regular" w:hint="eastAsia"/>
                <w:sz w:val="22"/>
                <w:szCs w:val="22"/>
                <w:lang w:val="en-US"/>
              </w:rPr>
              <w:t>债券发</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应继续持有指定项⽬和资产，这些项⽬和资产的公允市场价值⾄少等于债券发⾏时</w:t>
            </w:r>
            <w:proofErr w:type="spellEnd"/>
          </w:p>
          <w:p w14:paraId="5A8C44B0"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proofErr w:type="spellStart"/>
            <w:r>
              <w:rPr>
                <w:rFonts w:ascii="STSongti-SC-Regular" w:eastAsia="STSongti-SC-Regular" w:hAnsi="Whitney-Book" w:cs="STSongti-SC-Regular" w:hint="eastAsia"/>
                <w:sz w:val="22"/>
                <w:szCs w:val="22"/>
                <w:lang w:val="en-US"/>
              </w:rPr>
              <w:t>的本</w:t>
            </w:r>
            <w:proofErr w:type="spellEnd"/>
            <w:r>
              <w:rPr>
                <w:rFonts w:ascii="STSongti-SC-Regular" w:eastAsia="STSongti-SC-Regular" w:hAnsi="Whitney-Book" w:cs="STSongti-SC-Regular" w:hint="eastAsia"/>
                <w:sz w:val="22"/>
                <w:szCs w:val="22"/>
                <w:lang w:val="en-US"/>
              </w:rPr>
              <w:t>⾦⾦额。</w:t>
            </w:r>
          </w:p>
          <w:p w14:paraId="5233E7EE"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11.1.1. </w:t>
            </w:r>
            <w:proofErr w:type="spellStart"/>
            <w:r>
              <w:rPr>
                <w:rFonts w:ascii="STSongti-SC-Regular" w:eastAsia="STSongti-SC-Regular" w:hAnsi="Whitney-Book" w:cs="STSongti-SC-Regular" w:hint="eastAsia"/>
                <w:sz w:val="22"/>
                <w:szCs w:val="22"/>
                <w:lang w:val="en-US"/>
              </w:rPr>
              <w:t>额外的指定项⽬和资产可以添加</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或⽤于替代、或补充指定项⽬和资产投资组合，这些</w:t>
            </w:r>
            <w:proofErr w:type="spellEnd"/>
          </w:p>
          <w:p w14:paraId="2C55870E"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proofErr w:type="spellStart"/>
            <w:r>
              <w:rPr>
                <w:rFonts w:ascii="STSongti-SC-Regular" w:eastAsia="STSongti-SC-Regular" w:hAnsi="Whitney-Book" w:cs="STSongti-SC-Regular" w:hint="eastAsia"/>
                <w:sz w:val="22"/>
                <w:szCs w:val="22"/>
                <w:lang w:val="en-US"/>
              </w:rPr>
              <w:t>额外的指定项⽬资产应满</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候债券标准</w:t>
            </w:r>
            <w:r>
              <w:rPr>
                <w:rFonts w:ascii="Whitney-Book" w:hAnsi="Whitney-Book" w:cs="Whitney-Book"/>
                <w:sz w:val="22"/>
                <w:szCs w:val="22"/>
                <w:lang w:val="en-US"/>
              </w:rPr>
              <w:t>C</w:t>
            </w:r>
            <w:proofErr w:type="spellEnd"/>
            <w:r>
              <w:rPr>
                <w:rFonts w:ascii="Whitney-Book" w:hAnsi="Whitney-Book" w:cs="Whitney-Book"/>
                <w:sz w:val="22"/>
                <w:szCs w:val="22"/>
                <w:lang w:val="en-US"/>
              </w:rPr>
              <w:t xml:space="preserve"> </w:t>
            </w:r>
            <w:r>
              <w:rPr>
                <w:rFonts w:ascii="STSongti-SC-Regular" w:eastAsia="STSongti-SC-Regular" w:hAnsi="Whitney-Book" w:cs="STSongti-SC-Regular" w:hint="eastAsia"/>
                <w:sz w:val="22"/>
                <w:szCs w:val="22"/>
                <w:lang w:val="en-US"/>
              </w:rPr>
              <w:t>部分的要求并符合条款</w:t>
            </w:r>
            <w:r>
              <w:rPr>
                <w:rFonts w:ascii="Whitney-Book" w:hAnsi="Whitney-Book" w:cs="Whitney-Book"/>
                <w:sz w:val="22"/>
                <w:szCs w:val="22"/>
                <w:lang w:val="en-US"/>
              </w:rPr>
              <w:t xml:space="preserve">1.1 </w:t>
            </w:r>
            <w:proofErr w:type="spellStart"/>
            <w:r>
              <w:rPr>
                <w:rFonts w:ascii="STSongti-SC-Regular" w:eastAsia="STSongti-SC-Regular" w:hAnsi="Whitney-Book" w:cs="STSongti-SC-Regular" w:hint="eastAsia"/>
                <w:sz w:val="22"/>
                <w:szCs w:val="22"/>
                <w:lang w:val="en-US"/>
              </w:rPr>
              <w:t>所⽰的债券环境效</w:t>
            </w:r>
            <w:proofErr w:type="spellEnd"/>
          </w:p>
          <w:p w14:paraId="682AE5A5"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proofErr w:type="spellStart"/>
            <w:r>
              <w:rPr>
                <w:rFonts w:ascii="STSongti-SC-Regular" w:eastAsia="STSongti-SC-Regular" w:hAnsi="Whitney-Book" w:cs="STSongti-SC-Regular" w:hint="eastAsia"/>
                <w:sz w:val="22"/>
                <w:szCs w:val="22"/>
                <w:lang w:val="en-US"/>
              </w:rPr>
              <w:t>益⽬标</w:t>
            </w:r>
            <w:proofErr w:type="spellEnd"/>
            <w:r>
              <w:rPr>
                <w:rFonts w:ascii="STSongti-SC-Regular" w:eastAsia="STSongti-SC-Regular" w:hAnsi="Whitney-Book" w:cs="STSongti-SC-Regular" w:hint="eastAsia"/>
                <w:sz w:val="22"/>
                <w:szCs w:val="22"/>
                <w:lang w:val="en-US"/>
              </w:rPr>
              <w:t>。</w:t>
            </w:r>
          </w:p>
          <w:p w14:paraId="50B8E8AC"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proofErr w:type="spellStart"/>
            <w:r>
              <w:rPr>
                <w:rFonts w:ascii="STSongti-SC-Regular" w:eastAsia="STSongti-SC-Regular" w:hAnsi="Whitney-Book" w:cs="STSongti-SC-Regular" w:hint="eastAsia"/>
                <w:sz w:val="22"/>
                <w:szCs w:val="22"/>
                <w:lang w:val="en-US"/>
              </w:rPr>
              <w:t>注：发</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并不⽤因为指定项⽬和资产投资组合的市场价值发⽣变化⽽添加额外的指定项</w:t>
            </w:r>
            <w:proofErr w:type="spellEnd"/>
          </w:p>
          <w:p w14:paraId="5E0F7BD3" w14:textId="60C2E061" w:rsidR="0009113A" w:rsidRPr="00E553EB" w:rsidRDefault="0009113A" w:rsidP="0009113A">
            <w:pPr>
              <w:rPr>
                <w:rFonts w:ascii="Calibri" w:hAnsi="Calibri"/>
              </w:rPr>
            </w:pPr>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和资产</w:t>
            </w:r>
            <w:proofErr w:type="spellEnd"/>
            <w:r>
              <w:rPr>
                <w:rFonts w:ascii="STSongti-SC-Regular" w:eastAsia="STSongti-SC-Regular" w:hAnsi="Whitney-Book" w:cs="STSongti-SC-Regular" w:hint="eastAsia"/>
                <w:sz w:val="22"/>
                <w:szCs w:val="22"/>
                <w:lang w:val="en-US"/>
              </w:rPr>
              <w:t>。</w:t>
            </w:r>
          </w:p>
        </w:tc>
        <w:tc>
          <w:tcPr>
            <w:tcW w:w="3404" w:type="dxa"/>
          </w:tcPr>
          <w:p w14:paraId="130E2B64" w14:textId="77777777" w:rsidR="0009113A" w:rsidRPr="00E553EB" w:rsidRDefault="0009113A" w:rsidP="008200E1">
            <w:pPr>
              <w:rPr>
                <w:rFonts w:ascii="Calibri" w:hAnsi="Calibri"/>
              </w:rPr>
            </w:pPr>
          </w:p>
        </w:tc>
        <w:tc>
          <w:tcPr>
            <w:tcW w:w="1841" w:type="dxa"/>
          </w:tcPr>
          <w:p w14:paraId="21A357B9" w14:textId="77777777" w:rsidR="0009113A" w:rsidRPr="00E553EB" w:rsidRDefault="0009113A" w:rsidP="008200E1">
            <w:pPr>
              <w:rPr>
                <w:rFonts w:ascii="Calibri" w:hAnsi="Calibri"/>
              </w:rPr>
            </w:pPr>
          </w:p>
        </w:tc>
      </w:tr>
    </w:tbl>
    <w:p w14:paraId="4741E423" w14:textId="024C67BB" w:rsidR="0009113A" w:rsidRDefault="0009113A" w:rsidP="0009113A">
      <w:pPr>
        <w:autoSpaceDE w:val="0"/>
        <w:autoSpaceDN w:val="0"/>
        <w:adjustRightInd w:val="0"/>
      </w:pPr>
    </w:p>
    <w:tbl>
      <w:tblPr>
        <w:tblStyle w:val="TableGrid"/>
        <w:tblW w:w="10349" w:type="dxa"/>
        <w:tblInd w:w="-743" w:type="dxa"/>
        <w:tblLook w:val="04A0" w:firstRow="1" w:lastRow="0" w:firstColumn="1" w:lastColumn="0" w:noHBand="0" w:noVBand="1"/>
      </w:tblPr>
      <w:tblGrid>
        <w:gridCol w:w="5104"/>
        <w:gridCol w:w="3404"/>
        <w:gridCol w:w="1841"/>
      </w:tblGrid>
      <w:tr w:rsidR="0009113A" w14:paraId="231506D3" w14:textId="77777777" w:rsidTr="008200E1">
        <w:trPr>
          <w:trHeight w:val="515"/>
        </w:trPr>
        <w:tc>
          <w:tcPr>
            <w:tcW w:w="10349" w:type="dxa"/>
            <w:gridSpan w:val="3"/>
            <w:shd w:val="clear" w:color="auto" w:fill="99CCFF"/>
          </w:tcPr>
          <w:p w14:paraId="35E8125B" w14:textId="7D061136" w:rsidR="0009113A" w:rsidRDefault="0009113A" w:rsidP="008200E1">
            <w:pPr>
              <w:pStyle w:val="TableParagraph"/>
              <w:ind w:right="504"/>
              <w:jc w:val="center"/>
              <w:rPr>
                <w:rFonts w:ascii="Calibri" w:hAnsi="Calibri"/>
                <w:b/>
                <w:color w:val="FFFFFF" w:themeColor="background1"/>
                <w:sz w:val="28"/>
                <w:szCs w:val="28"/>
              </w:rPr>
            </w:pPr>
            <w:r w:rsidRPr="0009113A">
              <w:rPr>
                <w:rFonts w:ascii="Calibri" w:hAnsi="Calibri"/>
                <w:b/>
                <w:color w:val="FFFFFF" w:themeColor="background1"/>
                <w:sz w:val="28"/>
                <w:szCs w:val="28"/>
              </w:rPr>
              <w:t xml:space="preserve">12. </w:t>
            </w:r>
            <w:proofErr w:type="spellStart"/>
            <w:r w:rsidRPr="0009113A">
              <w:rPr>
                <w:rFonts w:ascii="Microsoft JhengHei" w:eastAsia="Microsoft JhengHei" w:hAnsi="Microsoft JhengHei" w:cs="Microsoft JhengHei" w:hint="eastAsia"/>
                <w:b/>
                <w:color w:val="FFFFFF" w:themeColor="background1"/>
                <w:sz w:val="28"/>
                <w:szCs w:val="28"/>
              </w:rPr>
              <w:t>结算期</w:t>
            </w:r>
            <w:proofErr w:type="spellEnd"/>
          </w:p>
        </w:tc>
      </w:tr>
      <w:tr w:rsidR="0009113A" w14:paraId="16D1FD08" w14:textId="77777777" w:rsidTr="008200E1">
        <w:trPr>
          <w:trHeight w:val="581"/>
        </w:trPr>
        <w:tc>
          <w:tcPr>
            <w:tcW w:w="5104" w:type="dxa"/>
            <w:shd w:val="clear" w:color="auto" w:fill="99CCFF"/>
          </w:tcPr>
          <w:p w14:paraId="78B3975A"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sidRPr="00E56099">
              <w:rPr>
                <w:rFonts w:ascii="Calibri" w:hAnsi="Calibri"/>
                <w:b/>
                <w:sz w:val="24"/>
                <w:szCs w:val="24"/>
              </w:rPr>
              <w:t>Climate Bonds Standard Requirement</w:t>
            </w:r>
          </w:p>
        </w:tc>
        <w:tc>
          <w:tcPr>
            <w:tcW w:w="3404" w:type="dxa"/>
            <w:shd w:val="clear" w:color="auto" w:fill="99CCFF"/>
          </w:tcPr>
          <w:p w14:paraId="1CC25B92"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Findings </w:t>
            </w:r>
          </w:p>
        </w:tc>
        <w:tc>
          <w:tcPr>
            <w:tcW w:w="1841" w:type="dxa"/>
            <w:shd w:val="clear" w:color="auto" w:fill="99CCFF"/>
          </w:tcPr>
          <w:p w14:paraId="673FBDE3" w14:textId="77777777" w:rsidR="0009113A" w:rsidRPr="008E4CB5" w:rsidRDefault="0009113A" w:rsidP="008200E1">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1364A31B"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Met </w:t>
            </w:r>
          </w:p>
        </w:tc>
      </w:tr>
      <w:tr w:rsidR="0009113A" w:rsidRPr="00E553EB" w14:paraId="37EDE455" w14:textId="77777777" w:rsidTr="008200E1">
        <w:tc>
          <w:tcPr>
            <w:tcW w:w="5104" w:type="dxa"/>
          </w:tcPr>
          <w:p w14:paraId="3D2CB379" w14:textId="5EDC0212" w:rsidR="0009113A" w:rsidRPr="00E553EB" w:rsidRDefault="0009113A" w:rsidP="008200E1">
            <w:pPr>
              <w:rPr>
                <w:rFonts w:ascii="Calibri" w:hAnsi="Calibri"/>
              </w:rPr>
            </w:pPr>
            <w:r>
              <w:rPr>
                <w:rFonts w:ascii="Whitney-Book" w:hAnsi="Whitney-Book" w:cs="Whitney-Book"/>
                <w:sz w:val="22"/>
                <w:szCs w:val="22"/>
                <w:lang w:val="en-US"/>
              </w:rPr>
              <w:t xml:space="preserve">12.1. </w:t>
            </w:r>
            <w:r>
              <w:rPr>
                <w:rFonts w:ascii="STSongti-SC-Regular" w:eastAsia="STSongti-SC-Regular" w:hAnsi="Whitney-Book" w:cs="STSongti-SC-Regular" w:hint="eastAsia"/>
                <w:sz w:val="22"/>
                <w:szCs w:val="22"/>
                <w:lang w:val="en-US"/>
              </w:rPr>
              <w:t>发⾏⼈应证实在债券发⾏后</w:t>
            </w:r>
            <w:r>
              <w:rPr>
                <w:rFonts w:ascii="Whitney-Book" w:hAnsi="Whitney-Book" w:cs="Whitney-Book"/>
                <w:sz w:val="22"/>
                <w:szCs w:val="22"/>
                <w:lang w:val="en-US"/>
              </w:rPr>
              <w:t xml:space="preserve">24 </w:t>
            </w:r>
            <w:proofErr w:type="spellStart"/>
            <w:r>
              <w:rPr>
                <w:rFonts w:ascii="STSongti-SC-Regular" w:eastAsia="STSongti-SC-Regular" w:hAnsi="Whitney-Book" w:cs="STSongti-SC-Regular" w:hint="eastAsia"/>
                <w:sz w:val="22"/>
                <w:szCs w:val="22"/>
                <w:lang w:val="en-US"/>
              </w:rPr>
              <w:t>个⽉内募集资⾦确实投放</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指定的项⽬和资产</w:t>
            </w:r>
            <w:proofErr w:type="spellEnd"/>
            <w:r>
              <w:rPr>
                <w:rFonts w:ascii="STSongti-SC-Regular" w:eastAsia="STSongti-SC-Regular" w:hAnsi="Whitney-Book" w:cs="STSongti-SC-Regular" w:hint="eastAsia"/>
                <w:sz w:val="22"/>
                <w:szCs w:val="22"/>
                <w:lang w:val="en-US"/>
              </w:rPr>
              <w:t>。</w:t>
            </w:r>
          </w:p>
        </w:tc>
        <w:tc>
          <w:tcPr>
            <w:tcW w:w="3404" w:type="dxa"/>
          </w:tcPr>
          <w:p w14:paraId="76EE0A23" w14:textId="77777777" w:rsidR="0009113A" w:rsidRPr="00E553EB" w:rsidRDefault="0009113A" w:rsidP="008200E1">
            <w:pPr>
              <w:rPr>
                <w:rFonts w:ascii="Calibri" w:hAnsi="Calibri"/>
              </w:rPr>
            </w:pPr>
          </w:p>
        </w:tc>
        <w:tc>
          <w:tcPr>
            <w:tcW w:w="1841" w:type="dxa"/>
          </w:tcPr>
          <w:p w14:paraId="2507D11C" w14:textId="77777777" w:rsidR="0009113A" w:rsidRPr="00E553EB" w:rsidRDefault="0009113A" w:rsidP="008200E1">
            <w:pPr>
              <w:rPr>
                <w:rFonts w:ascii="Calibri" w:hAnsi="Calibri"/>
              </w:rPr>
            </w:pPr>
          </w:p>
        </w:tc>
      </w:tr>
      <w:tr w:rsidR="0009113A" w:rsidRPr="00E553EB" w14:paraId="0D8ADB41" w14:textId="77777777" w:rsidTr="008200E1">
        <w:tc>
          <w:tcPr>
            <w:tcW w:w="5104" w:type="dxa"/>
          </w:tcPr>
          <w:p w14:paraId="5BE01144"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12.2. </w:t>
            </w:r>
            <w:r>
              <w:rPr>
                <w:rFonts w:ascii="STSongti-SC-Regular" w:eastAsia="STSongti-SC-Regular" w:hAnsi="Whitney-Book" w:cs="STSongti-SC-Regular" w:hint="eastAsia"/>
                <w:sz w:val="22"/>
                <w:szCs w:val="22"/>
                <w:lang w:val="en-US"/>
              </w:rPr>
              <w:t>若净募集资⾦并未在</w:t>
            </w:r>
            <w:r>
              <w:rPr>
                <w:rFonts w:ascii="Whitney-Book" w:hAnsi="Whitney-Book" w:cs="Whitney-Book"/>
                <w:sz w:val="22"/>
                <w:szCs w:val="22"/>
                <w:lang w:val="en-US"/>
              </w:rPr>
              <w:t xml:space="preserve">24 </w:t>
            </w:r>
            <w:proofErr w:type="spellStart"/>
            <w:r>
              <w:rPr>
                <w:rFonts w:ascii="STSongti-SC-Regular" w:eastAsia="STSongti-SC-Regular" w:hAnsi="Whitney-Book" w:cs="STSongti-SC-Regular" w:hint="eastAsia"/>
                <w:sz w:val="22"/>
                <w:szCs w:val="22"/>
                <w:lang w:val="en-US"/>
              </w:rPr>
              <w:t>个⽉内完全投放，发</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需证实</w:t>
            </w:r>
            <w:proofErr w:type="spellEnd"/>
            <w:r>
              <w:rPr>
                <w:rFonts w:ascii="STSongti-SC-Regular" w:eastAsia="STSongti-SC-Regular" w:hAnsi="Whitney-Book" w:cs="STSongti-SC-Regular" w:hint="eastAsia"/>
                <w:sz w:val="22"/>
                <w:szCs w:val="22"/>
                <w:lang w:val="en-US"/>
              </w:rPr>
              <w:t>：</w:t>
            </w:r>
          </w:p>
          <w:p w14:paraId="3E033DC3" w14:textId="77777777" w:rsidR="0009113A" w:rsidRDefault="0009113A" w:rsidP="0009113A">
            <w:pPr>
              <w:autoSpaceDE w:val="0"/>
              <w:autoSpaceDN w:val="0"/>
              <w:adjustRightInd w:val="0"/>
              <w:rPr>
                <w:rFonts w:ascii="STSongti-SC-Regular" w:eastAsia="STSongti-SC-Regular" w:hAnsi="Whitney-Book" w:cs="STSongti-SC-Regular"/>
                <w:sz w:val="22"/>
                <w:szCs w:val="22"/>
                <w:lang w:val="en-US"/>
              </w:rPr>
            </w:pPr>
            <w:r>
              <w:rPr>
                <w:rFonts w:ascii="Whitney-Book" w:hAnsi="Whitney-Book" w:cs="Whitney-Book"/>
                <w:sz w:val="22"/>
                <w:szCs w:val="22"/>
                <w:lang w:val="en-US"/>
              </w:rPr>
              <w:t xml:space="preserve">12.2.1. </w:t>
            </w:r>
            <w:proofErr w:type="spellStart"/>
            <w:r>
              <w:rPr>
                <w:rFonts w:ascii="STSongti-SC-Regular" w:eastAsia="STSongti-SC-Regular" w:hAnsi="Whitney-Book" w:cs="STSongti-SC-Regular" w:hint="eastAsia"/>
                <w:sz w:val="22"/>
                <w:szCs w:val="22"/>
                <w:lang w:val="en-US"/>
              </w:rPr>
              <w:t>余额或闲置资⾦已投⾄未经⽓候债券指定的其他合格项⽬和资产</w:t>
            </w:r>
            <w:proofErr w:type="spellEnd"/>
            <w:r>
              <w:rPr>
                <w:rFonts w:ascii="STSongti-SC-Regular" w:eastAsia="STSongti-SC-Regular" w:hAnsi="Whitney-Book" w:cs="STSongti-SC-Regular" w:hint="eastAsia"/>
                <w:sz w:val="22"/>
                <w:szCs w:val="22"/>
                <w:lang w:val="en-US"/>
              </w:rPr>
              <w:t>。</w:t>
            </w:r>
          </w:p>
          <w:p w14:paraId="62A8BB68" w14:textId="1D653670" w:rsidR="0009113A" w:rsidRDefault="0009113A" w:rsidP="0009113A">
            <w:pPr>
              <w:rPr>
                <w:rFonts w:ascii="Whitney-Book" w:hAnsi="Whitney-Book" w:cs="Whitney-Book"/>
                <w:sz w:val="22"/>
                <w:szCs w:val="22"/>
                <w:lang w:val="en-US"/>
              </w:rPr>
            </w:pPr>
            <w:r>
              <w:rPr>
                <w:rFonts w:ascii="Whitney-Book" w:hAnsi="Whitney-Book" w:cs="Whitney-Book"/>
                <w:sz w:val="22"/>
                <w:szCs w:val="22"/>
                <w:lang w:val="en-US"/>
              </w:rPr>
              <w:t xml:space="preserve">12.2.2. </w:t>
            </w:r>
            <w:r>
              <w:rPr>
                <w:rFonts w:ascii="STSongti-SC-Regular" w:eastAsia="STSongti-SC-Regular" w:hAnsi="Whitney-Book" w:cs="STSongti-SC-Regular" w:hint="eastAsia"/>
                <w:sz w:val="22"/>
                <w:szCs w:val="22"/>
                <w:lang w:val="en-US"/>
              </w:rPr>
              <w:t>发⾏⼈按照条款</w:t>
            </w:r>
            <w:r>
              <w:rPr>
                <w:rFonts w:ascii="Whitney-Book" w:hAnsi="Whitney-Book" w:cs="Whitney-Book"/>
                <w:sz w:val="22"/>
                <w:szCs w:val="22"/>
                <w:lang w:val="en-US"/>
              </w:rPr>
              <w:t xml:space="preserve">6 </w:t>
            </w:r>
            <w:proofErr w:type="spellStart"/>
            <w:r>
              <w:rPr>
                <w:rFonts w:ascii="STSongti-SC-Regular" w:eastAsia="STSongti-SC-Regular" w:hAnsi="Whitney-Book" w:cs="STSongti-SC-Regular" w:hint="eastAsia"/>
                <w:sz w:val="22"/>
                <w:szCs w:val="22"/>
                <w:lang w:val="en-US"/>
              </w:rPr>
              <w:t>将余额或闲置资</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于暂时性投资</w:t>
            </w:r>
            <w:proofErr w:type="spellEnd"/>
            <w:r>
              <w:rPr>
                <w:rFonts w:ascii="STSongti-SC-Regular" w:eastAsia="STSongti-SC-Regular" w:hAnsi="Whitney-Book" w:cs="STSongti-SC-Regular" w:hint="eastAsia"/>
                <w:sz w:val="22"/>
                <w:szCs w:val="22"/>
                <w:lang w:val="en-US"/>
              </w:rPr>
              <w:t>。</w:t>
            </w:r>
          </w:p>
        </w:tc>
        <w:tc>
          <w:tcPr>
            <w:tcW w:w="3404" w:type="dxa"/>
          </w:tcPr>
          <w:p w14:paraId="7E2A6BF4" w14:textId="77777777" w:rsidR="0009113A" w:rsidRPr="00E553EB" w:rsidRDefault="0009113A" w:rsidP="008200E1">
            <w:pPr>
              <w:rPr>
                <w:rFonts w:ascii="Calibri" w:hAnsi="Calibri"/>
              </w:rPr>
            </w:pPr>
          </w:p>
        </w:tc>
        <w:tc>
          <w:tcPr>
            <w:tcW w:w="1841" w:type="dxa"/>
          </w:tcPr>
          <w:p w14:paraId="3C7C746A" w14:textId="77777777" w:rsidR="0009113A" w:rsidRPr="00E553EB" w:rsidRDefault="0009113A" w:rsidP="008200E1">
            <w:pPr>
              <w:rPr>
                <w:rFonts w:ascii="Calibri" w:hAnsi="Calibri"/>
              </w:rPr>
            </w:pPr>
          </w:p>
        </w:tc>
      </w:tr>
    </w:tbl>
    <w:p w14:paraId="48343259" w14:textId="3C29F8F5" w:rsidR="0009113A" w:rsidRDefault="0009113A" w:rsidP="0009113A">
      <w:pPr>
        <w:autoSpaceDE w:val="0"/>
        <w:autoSpaceDN w:val="0"/>
        <w:adjustRightInd w:val="0"/>
      </w:pPr>
    </w:p>
    <w:p w14:paraId="3140B56F" w14:textId="1A7D226B" w:rsidR="000172B6" w:rsidRDefault="000172B6" w:rsidP="0009113A">
      <w:pPr>
        <w:autoSpaceDE w:val="0"/>
        <w:autoSpaceDN w:val="0"/>
        <w:adjustRightInd w:val="0"/>
      </w:pPr>
    </w:p>
    <w:p w14:paraId="4D9E1419" w14:textId="77777777" w:rsidR="000172B6" w:rsidRDefault="000172B6" w:rsidP="0009113A">
      <w:pPr>
        <w:autoSpaceDE w:val="0"/>
        <w:autoSpaceDN w:val="0"/>
        <w:adjustRightInd w:val="0"/>
      </w:pPr>
    </w:p>
    <w:tbl>
      <w:tblPr>
        <w:tblStyle w:val="TableGrid"/>
        <w:tblW w:w="10349" w:type="dxa"/>
        <w:tblInd w:w="-743" w:type="dxa"/>
        <w:tblLook w:val="04A0" w:firstRow="1" w:lastRow="0" w:firstColumn="1" w:lastColumn="0" w:noHBand="0" w:noVBand="1"/>
      </w:tblPr>
      <w:tblGrid>
        <w:gridCol w:w="5104"/>
        <w:gridCol w:w="3404"/>
        <w:gridCol w:w="1841"/>
      </w:tblGrid>
      <w:tr w:rsidR="0009113A" w14:paraId="5C6557F5" w14:textId="77777777" w:rsidTr="008200E1">
        <w:trPr>
          <w:trHeight w:val="515"/>
        </w:trPr>
        <w:tc>
          <w:tcPr>
            <w:tcW w:w="10349" w:type="dxa"/>
            <w:gridSpan w:val="3"/>
            <w:shd w:val="clear" w:color="auto" w:fill="99CCFF"/>
          </w:tcPr>
          <w:p w14:paraId="0C2401CA" w14:textId="48E8FB2E" w:rsidR="0009113A" w:rsidRDefault="0009113A" w:rsidP="008200E1">
            <w:pPr>
              <w:pStyle w:val="TableParagraph"/>
              <w:ind w:right="504"/>
              <w:jc w:val="center"/>
              <w:rPr>
                <w:rFonts w:ascii="Calibri" w:hAnsi="Calibri"/>
                <w:b/>
                <w:color w:val="FFFFFF" w:themeColor="background1"/>
                <w:sz w:val="28"/>
                <w:szCs w:val="28"/>
              </w:rPr>
            </w:pPr>
            <w:r>
              <w:rPr>
                <w:rFonts w:ascii="Microsoft JhengHei" w:eastAsia="Microsoft JhengHei" w:hAnsi="Microsoft JhengHei" w:cs="Microsoft JhengHei" w:hint="eastAsia"/>
                <w:b/>
                <w:color w:val="FFFFFF" w:themeColor="background1"/>
                <w:sz w:val="28"/>
                <w:szCs w:val="28"/>
              </w:rPr>
              <w:lastRenderedPageBreak/>
              <w:t>1</w:t>
            </w:r>
            <w:r>
              <w:rPr>
                <w:rFonts w:ascii="Microsoft JhengHei" w:eastAsia="Microsoft JhengHei" w:hAnsi="Microsoft JhengHei" w:cs="Microsoft JhengHei"/>
                <w:b/>
                <w:color w:val="FFFFFF" w:themeColor="background1"/>
                <w:sz w:val="28"/>
                <w:szCs w:val="28"/>
              </w:rPr>
              <w:t xml:space="preserve">3. </w:t>
            </w:r>
            <w:proofErr w:type="spellStart"/>
            <w:r w:rsidRPr="0009113A">
              <w:rPr>
                <w:rFonts w:ascii="Microsoft JhengHei" w:eastAsia="Microsoft JhengHei" w:hAnsi="Microsoft JhengHei" w:cs="Microsoft JhengHei" w:hint="eastAsia"/>
                <w:b/>
                <w:color w:val="FFFFFF" w:themeColor="background1"/>
                <w:sz w:val="28"/>
                <w:szCs w:val="28"/>
              </w:rPr>
              <w:t>专项台账</w:t>
            </w:r>
            <w:proofErr w:type="spellEnd"/>
          </w:p>
        </w:tc>
      </w:tr>
      <w:tr w:rsidR="0009113A" w14:paraId="74F1530E" w14:textId="77777777" w:rsidTr="008200E1">
        <w:trPr>
          <w:trHeight w:val="581"/>
        </w:trPr>
        <w:tc>
          <w:tcPr>
            <w:tcW w:w="5104" w:type="dxa"/>
            <w:shd w:val="clear" w:color="auto" w:fill="99CCFF"/>
          </w:tcPr>
          <w:p w14:paraId="36EC26F9"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sidRPr="00E56099">
              <w:rPr>
                <w:rFonts w:ascii="Calibri" w:hAnsi="Calibri"/>
                <w:b/>
                <w:sz w:val="24"/>
                <w:szCs w:val="24"/>
              </w:rPr>
              <w:t>Climate Bonds Standard Requirement</w:t>
            </w:r>
          </w:p>
        </w:tc>
        <w:tc>
          <w:tcPr>
            <w:tcW w:w="3404" w:type="dxa"/>
            <w:shd w:val="clear" w:color="auto" w:fill="99CCFF"/>
          </w:tcPr>
          <w:p w14:paraId="1C9FF78D"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Findings </w:t>
            </w:r>
          </w:p>
        </w:tc>
        <w:tc>
          <w:tcPr>
            <w:tcW w:w="1841" w:type="dxa"/>
            <w:shd w:val="clear" w:color="auto" w:fill="99CCFF"/>
          </w:tcPr>
          <w:p w14:paraId="3FE88E93" w14:textId="77777777" w:rsidR="0009113A" w:rsidRPr="008E4CB5" w:rsidRDefault="0009113A" w:rsidP="008200E1">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57B279A3" w14:textId="77777777" w:rsidR="0009113A" w:rsidRPr="00E56099" w:rsidRDefault="0009113A" w:rsidP="008200E1">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Met </w:t>
            </w:r>
          </w:p>
        </w:tc>
      </w:tr>
      <w:tr w:rsidR="0009113A" w:rsidRPr="00E553EB" w14:paraId="6258A84C" w14:textId="77777777" w:rsidTr="008200E1">
        <w:tc>
          <w:tcPr>
            <w:tcW w:w="5104" w:type="dxa"/>
          </w:tcPr>
          <w:p w14:paraId="690C2F0D" w14:textId="7950844D" w:rsidR="0009113A" w:rsidRPr="00E553EB" w:rsidRDefault="0009113A" w:rsidP="008200E1">
            <w:pPr>
              <w:rPr>
                <w:rFonts w:ascii="Calibri" w:hAnsi="Calibri"/>
              </w:rPr>
            </w:pPr>
            <w:r>
              <w:rPr>
                <w:rFonts w:ascii="Whitney-Book" w:hAnsi="Whitney-Book" w:cs="Whitney-Book"/>
                <w:sz w:val="22"/>
                <w:szCs w:val="22"/>
                <w:lang w:val="en-US"/>
              </w:rPr>
              <w:t xml:space="preserve">13.1. </w:t>
            </w:r>
            <w:proofErr w:type="spellStart"/>
            <w:r>
              <w:rPr>
                <w:rFonts w:ascii="STSongti-SC-Regular" w:eastAsia="STSongti-SC-Regular" w:hAnsi="Whitney-Book" w:cs="STSongti-SC-Regular" w:hint="eastAsia"/>
                <w:sz w:val="22"/>
                <w:szCs w:val="22"/>
                <w:lang w:val="en-US"/>
              </w:rPr>
              <w:t>债券发</w:t>
            </w:r>
            <w:proofErr w:type="spellEnd"/>
            <w:r>
              <w:rPr>
                <w:rFonts w:ascii="STSongti-SC-Regular" w:eastAsia="STSongti-SC-Regular" w:hAnsi="Whitney-Book" w:cs="STSongti-SC-Regular" w:hint="eastAsia"/>
                <w:sz w:val="22"/>
                <w:szCs w:val="22"/>
                <w:lang w:val="en-US"/>
              </w:rPr>
              <w:t>⾏⼈应保持专项台账流程以按照条约</w:t>
            </w:r>
            <w:r>
              <w:rPr>
                <w:rFonts w:ascii="Whitney-Book" w:hAnsi="Whitney-Book" w:cs="Whitney-Book"/>
                <w:sz w:val="22"/>
                <w:szCs w:val="22"/>
                <w:lang w:val="en-US"/>
              </w:rPr>
              <w:t xml:space="preserve">2.1 </w:t>
            </w:r>
            <w:r>
              <w:rPr>
                <w:rFonts w:ascii="STSongti-SC-Regular" w:eastAsia="STSongti-SC-Regular" w:hAnsi="Whitney-Book" w:cs="STSongti-SC-Regular" w:hint="eastAsia"/>
                <w:sz w:val="22"/>
                <w:szCs w:val="22"/>
                <w:lang w:val="en-US"/>
              </w:rPr>
              <w:t>和</w:t>
            </w:r>
            <w:r>
              <w:rPr>
                <w:rFonts w:ascii="Whitney-Book" w:hAnsi="Whitney-Book" w:cs="Whitney-Book"/>
                <w:sz w:val="22"/>
                <w:szCs w:val="22"/>
                <w:lang w:val="en-US"/>
              </w:rPr>
              <w:t xml:space="preserve">2.1.3 </w:t>
            </w:r>
            <w:proofErr w:type="spellStart"/>
            <w:r>
              <w:rPr>
                <w:rFonts w:ascii="STSongti-SC-Regular" w:eastAsia="STSongti-SC-Regular" w:hAnsi="Whitney-Book" w:cs="STSongti-SC-Regular" w:hint="eastAsia"/>
                <w:sz w:val="22"/>
                <w:szCs w:val="22"/>
                <w:lang w:val="en-US"/>
              </w:rPr>
              <w:t>管理和说明募集资</w:t>
            </w:r>
            <w:proofErr w:type="spellEnd"/>
            <w:r>
              <w:rPr>
                <w:rFonts w:ascii="STSongti-SC-Regular" w:eastAsia="STSongti-SC-Regular" w:hAnsi="Whitney-Book" w:cs="STSongti-SC-Regular" w:hint="eastAsia"/>
                <w:sz w:val="22"/>
                <w:szCs w:val="22"/>
                <w:lang w:val="en-US"/>
              </w:rPr>
              <w:t>⾦</w:t>
            </w:r>
            <w:proofErr w:type="spellStart"/>
            <w:r>
              <w:rPr>
                <w:rFonts w:ascii="STSongti-SC-Regular" w:eastAsia="STSongti-SC-Regular" w:hAnsi="Whitney-Book" w:cs="STSongti-SC-Regular" w:hint="eastAsia"/>
                <w:sz w:val="22"/>
                <w:szCs w:val="22"/>
                <w:lang w:val="en-US"/>
              </w:rPr>
              <w:t>使⽤情况</w:t>
            </w:r>
            <w:proofErr w:type="spellEnd"/>
            <w:r>
              <w:rPr>
                <w:rFonts w:ascii="STSongti-SC-Regular" w:eastAsia="STSongti-SC-Regular" w:hAnsi="Whitney-Book" w:cs="STSongti-SC-Regular" w:hint="eastAsia"/>
                <w:sz w:val="22"/>
                <w:szCs w:val="22"/>
                <w:lang w:val="en-US"/>
              </w:rPr>
              <w:t>。</w:t>
            </w:r>
          </w:p>
        </w:tc>
        <w:tc>
          <w:tcPr>
            <w:tcW w:w="3404" w:type="dxa"/>
          </w:tcPr>
          <w:p w14:paraId="13760661" w14:textId="77777777" w:rsidR="0009113A" w:rsidRPr="00E553EB" w:rsidRDefault="0009113A" w:rsidP="008200E1">
            <w:pPr>
              <w:rPr>
                <w:rFonts w:ascii="Calibri" w:hAnsi="Calibri"/>
              </w:rPr>
            </w:pPr>
          </w:p>
        </w:tc>
        <w:tc>
          <w:tcPr>
            <w:tcW w:w="1841" w:type="dxa"/>
          </w:tcPr>
          <w:p w14:paraId="31DF65FF" w14:textId="77777777" w:rsidR="0009113A" w:rsidRPr="00E553EB" w:rsidRDefault="0009113A" w:rsidP="008200E1">
            <w:pPr>
              <w:rPr>
                <w:rFonts w:ascii="Calibri" w:hAnsi="Calibri"/>
              </w:rPr>
            </w:pPr>
          </w:p>
        </w:tc>
      </w:tr>
    </w:tbl>
    <w:p w14:paraId="789F238E" w14:textId="77777777" w:rsidR="0009113A" w:rsidRDefault="0009113A" w:rsidP="0009113A">
      <w:pPr>
        <w:autoSpaceDE w:val="0"/>
        <w:autoSpaceDN w:val="0"/>
        <w:adjustRightInd w:val="0"/>
      </w:pPr>
    </w:p>
    <w:sectPr w:rsidR="0009113A" w:rsidSect="00FD7D22">
      <w:footerReference w:type="even" r:id="rId8"/>
      <w:footerReference w:type="default" r:id="rId9"/>
      <w:pgSz w:w="11900" w:h="16840"/>
      <w:pgMar w:top="1440" w:right="1127"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16B8B" w14:textId="77777777" w:rsidR="00A72AC6" w:rsidRDefault="00A72AC6" w:rsidP="00DA3316">
      <w:r>
        <w:separator/>
      </w:r>
    </w:p>
  </w:endnote>
  <w:endnote w:type="continuationSeparator" w:id="0">
    <w:p w14:paraId="21A3FC67" w14:textId="77777777" w:rsidR="00A72AC6" w:rsidRDefault="00A72AC6" w:rsidP="00DA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TSongti-SC-Bold">
    <w:altName w:val="Microsoft JhengHei"/>
    <w:panose1 w:val="00000000000000000000"/>
    <w:charset w:val="88"/>
    <w:family w:val="auto"/>
    <w:notTrueType/>
    <w:pitch w:val="default"/>
    <w:sig w:usb0="00000001" w:usb1="08080000" w:usb2="00000010" w:usb3="00000000" w:csb0="00100000" w:csb1="00000000"/>
  </w:font>
  <w:font w:name="STSongti-SC-Regular">
    <w:altName w:val="Microsoft JhengHei"/>
    <w:panose1 w:val="00000000000000000000"/>
    <w:charset w:val="88"/>
    <w:family w:val="auto"/>
    <w:notTrueType/>
    <w:pitch w:val="default"/>
    <w:sig w:usb0="00000001" w:usb1="08080000" w:usb2="00000010" w:usb3="00000000" w:csb0="00100000" w:csb1="00000000"/>
  </w:font>
  <w:font w:name="SymbolMT">
    <w:altName w:val="Calibri"/>
    <w:panose1 w:val="00000000000000000000"/>
    <w:charset w:val="00"/>
    <w:family w:val="swiss"/>
    <w:notTrueType/>
    <w:pitch w:val="default"/>
    <w:sig w:usb0="00000003" w:usb1="00000000" w:usb2="00000000" w:usb3="00000000" w:csb0="00000001" w:csb1="00000000"/>
  </w:font>
  <w:font w:name="Whitney-Book">
    <w:altName w:val="Calibri"/>
    <w:panose1 w:val="00000000000000000000"/>
    <w:charset w:val="00"/>
    <w:family w:val="swiss"/>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Whitney-BookItalic">
    <w:altName w:val="Calibri"/>
    <w:panose1 w:val="00000000000000000000"/>
    <w:charset w:val="00"/>
    <w:family w:val="swiss"/>
    <w:notTrueType/>
    <w:pitch w:val="default"/>
    <w:sig w:usb0="00000003" w:usb1="00000000" w:usb2="00000000" w:usb3="00000000" w:csb0="00000001" w:csb1="00000000"/>
  </w:font>
  <w:font w:name="Whitney-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EC9B" w14:textId="77777777" w:rsidR="001D7E9E" w:rsidRDefault="001D7E9E" w:rsidP="00A433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C8EF86" w14:textId="77777777" w:rsidR="001D7E9E" w:rsidRDefault="001D7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E392" w14:textId="77777777" w:rsidR="001D7E9E" w:rsidRDefault="001D7E9E" w:rsidP="00A433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36C">
      <w:rPr>
        <w:rStyle w:val="PageNumber"/>
        <w:noProof/>
      </w:rPr>
      <w:t>1</w:t>
    </w:r>
    <w:r>
      <w:rPr>
        <w:rStyle w:val="PageNumber"/>
      </w:rPr>
      <w:fldChar w:fldCharType="end"/>
    </w:r>
  </w:p>
  <w:p w14:paraId="52D5462C" w14:textId="77777777" w:rsidR="001D7E9E" w:rsidRDefault="001D7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FD66C" w14:textId="77777777" w:rsidR="00A72AC6" w:rsidRDefault="00A72AC6" w:rsidP="00DA3316">
      <w:r>
        <w:separator/>
      </w:r>
    </w:p>
  </w:footnote>
  <w:footnote w:type="continuationSeparator" w:id="0">
    <w:p w14:paraId="5831A5AF" w14:textId="77777777" w:rsidR="00A72AC6" w:rsidRDefault="00A72AC6" w:rsidP="00DA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08E7"/>
    <w:multiLevelType w:val="multilevel"/>
    <w:tmpl w:val="AF8AC8A4"/>
    <w:lvl w:ilvl="0">
      <w:start w:val="6"/>
      <w:numFmt w:val="decimal"/>
      <w:lvlText w:val="%1"/>
      <w:lvlJc w:val="left"/>
      <w:pPr>
        <w:ind w:left="107" w:hanging="555"/>
      </w:pPr>
      <w:rPr>
        <w:rFonts w:hint="default"/>
        <w:lang w:val="en-US" w:eastAsia="en-US" w:bidi="en-US"/>
      </w:rPr>
    </w:lvl>
    <w:lvl w:ilvl="1">
      <w:start w:val="2"/>
      <w:numFmt w:val="decimal"/>
      <w:lvlText w:val="%1.%2"/>
      <w:lvlJc w:val="left"/>
      <w:pPr>
        <w:ind w:left="107" w:hanging="555"/>
      </w:pPr>
      <w:rPr>
        <w:rFonts w:hint="default"/>
        <w:lang w:val="en-US" w:eastAsia="en-US" w:bidi="en-US"/>
      </w:rPr>
    </w:lvl>
    <w:lvl w:ilvl="2">
      <w:start w:val="1"/>
      <w:numFmt w:val="decimal"/>
      <w:lvlText w:val="%1.%2.%3."/>
      <w:lvlJc w:val="left"/>
      <w:pPr>
        <w:ind w:left="107" w:hanging="555"/>
      </w:pPr>
      <w:rPr>
        <w:rFonts w:ascii="Arial" w:eastAsia="Arial" w:hAnsi="Arial" w:cs="Arial" w:hint="default"/>
        <w:b/>
        <w:bCs/>
        <w:spacing w:val="-1"/>
        <w:w w:val="99"/>
        <w:sz w:val="20"/>
        <w:szCs w:val="20"/>
        <w:lang w:val="en-US" w:eastAsia="en-US" w:bidi="en-US"/>
      </w:rPr>
    </w:lvl>
    <w:lvl w:ilvl="3">
      <w:numFmt w:val="bullet"/>
      <w:lvlText w:val="•"/>
      <w:lvlJc w:val="left"/>
      <w:pPr>
        <w:ind w:left="769" w:hanging="555"/>
      </w:pPr>
      <w:rPr>
        <w:rFonts w:hint="default"/>
        <w:lang w:val="en-US" w:eastAsia="en-US" w:bidi="en-US"/>
      </w:rPr>
    </w:lvl>
    <w:lvl w:ilvl="4">
      <w:numFmt w:val="bullet"/>
      <w:lvlText w:val="•"/>
      <w:lvlJc w:val="left"/>
      <w:pPr>
        <w:ind w:left="992" w:hanging="555"/>
      </w:pPr>
      <w:rPr>
        <w:rFonts w:hint="default"/>
        <w:lang w:val="en-US" w:eastAsia="en-US" w:bidi="en-US"/>
      </w:rPr>
    </w:lvl>
    <w:lvl w:ilvl="5">
      <w:numFmt w:val="bullet"/>
      <w:lvlText w:val="•"/>
      <w:lvlJc w:val="left"/>
      <w:pPr>
        <w:ind w:left="1216" w:hanging="555"/>
      </w:pPr>
      <w:rPr>
        <w:rFonts w:hint="default"/>
        <w:lang w:val="en-US" w:eastAsia="en-US" w:bidi="en-US"/>
      </w:rPr>
    </w:lvl>
    <w:lvl w:ilvl="6">
      <w:numFmt w:val="bullet"/>
      <w:lvlText w:val="•"/>
      <w:lvlJc w:val="left"/>
      <w:pPr>
        <w:ind w:left="1439" w:hanging="555"/>
      </w:pPr>
      <w:rPr>
        <w:rFonts w:hint="default"/>
        <w:lang w:val="en-US" w:eastAsia="en-US" w:bidi="en-US"/>
      </w:rPr>
    </w:lvl>
    <w:lvl w:ilvl="7">
      <w:numFmt w:val="bullet"/>
      <w:lvlText w:val="•"/>
      <w:lvlJc w:val="left"/>
      <w:pPr>
        <w:ind w:left="1662" w:hanging="555"/>
      </w:pPr>
      <w:rPr>
        <w:rFonts w:hint="default"/>
        <w:lang w:val="en-US" w:eastAsia="en-US" w:bidi="en-US"/>
      </w:rPr>
    </w:lvl>
    <w:lvl w:ilvl="8">
      <w:numFmt w:val="bullet"/>
      <w:lvlText w:val="•"/>
      <w:lvlJc w:val="left"/>
      <w:pPr>
        <w:ind w:left="1885" w:hanging="555"/>
      </w:pPr>
      <w:rPr>
        <w:rFonts w:hint="default"/>
        <w:lang w:val="en-US" w:eastAsia="en-US" w:bidi="en-US"/>
      </w:rPr>
    </w:lvl>
  </w:abstractNum>
  <w:abstractNum w:abstractNumId="1" w15:restartNumberingAfterBreak="0">
    <w:nsid w:val="0C85022C"/>
    <w:multiLevelType w:val="multilevel"/>
    <w:tmpl w:val="DF729B6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7D7787"/>
    <w:multiLevelType w:val="multilevel"/>
    <w:tmpl w:val="A4027762"/>
    <w:lvl w:ilvl="0">
      <w:start w:val="12"/>
      <w:numFmt w:val="decimal"/>
      <w:lvlText w:val="%1"/>
      <w:lvlJc w:val="left"/>
      <w:pPr>
        <w:ind w:left="107" w:hanging="440"/>
      </w:pPr>
      <w:rPr>
        <w:rFonts w:hint="default"/>
        <w:lang w:val="en-US" w:eastAsia="en-US" w:bidi="en-US"/>
      </w:rPr>
    </w:lvl>
    <w:lvl w:ilvl="1">
      <w:start w:val="2"/>
      <w:numFmt w:val="decimal"/>
      <w:lvlText w:val="%1.%2"/>
      <w:lvlJc w:val="left"/>
      <w:pPr>
        <w:ind w:left="107" w:hanging="440"/>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07" w:hanging="610"/>
      </w:pPr>
      <w:rPr>
        <w:rFonts w:ascii="Arial" w:eastAsia="Arial" w:hAnsi="Arial" w:cs="Arial" w:hint="default"/>
        <w:b/>
        <w:bCs/>
        <w:spacing w:val="-1"/>
        <w:w w:val="99"/>
        <w:sz w:val="20"/>
        <w:szCs w:val="20"/>
        <w:lang w:val="en-US" w:eastAsia="en-US" w:bidi="en-US"/>
      </w:rPr>
    </w:lvl>
    <w:lvl w:ilvl="3">
      <w:numFmt w:val="bullet"/>
      <w:lvlText w:val="•"/>
      <w:lvlJc w:val="left"/>
      <w:pPr>
        <w:ind w:left="769" w:hanging="610"/>
      </w:pPr>
      <w:rPr>
        <w:rFonts w:hint="default"/>
        <w:lang w:val="en-US" w:eastAsia="en-US" w:bidi="en-US"/>
      </w:rPr>
    </w:lvl>
    <w:lvl w:ilvl="4">
      <w:numFmt w:val="bullet"/>
      <w:lvlText w:val="•"/>
      <w:lvlJc w:val="left"/>
      <w:pPr>
        <w:ind w:left="992" w:hanging="610"/>
      </w:pPr>
      <w:rPr>
        <w:rFonts w:hint="default"/>
        <w:lang w:val="en-US" w:eastAsia="en-US" w:bidi="en-US"/>
      </w:rPr>
    </w:lvl>
    <w:lvl w:ilvl="5">
      <w:numFmt w:val="bullet"/>
      <w:lvlText w:val="•"/>
      <w:lvlJc w:val="left"/>
      <w:pPr>
        <w:ind w:left="1216" w:hanging="610"/>
      </w:pPr>
      <w:rPr>
        <w:rFonts w:hint="default"/>
        <w:lang w:val="en-US" w:eastAsia="en-US" w:bidi="en-US"/>
      </w:rPr>
    </w:lvl>
    <w:lvl w:ilvl="6">
      <w:numFmt w:val="bullet"/>
      <w:lvlText w:val="•"/>
      <w:lvlJc w:val="left"/>
      <w:pPr>
        <w:ind w:left="1439" w:hanging="610"/>
      </w:pPr>
      <w:rPr>
        <w:rFonts w:hint="default"/>
        <w:lang w:val="en-US" w:eastAsia="en-US" w:bidi="en-US"/>
      </w:rPr>
    </w:lvl>
    <w:lvl w:ilvl="7">
      <w:numFmt w:val="bullet"/>
      <w:lvlText w:val="•"/>
      <w:lvlJc w:val="left"/>
      <w:pPr>
        <w:ind w:left="1662" w:hanging="610"/>
      </w:pPr>
      <w:rPr>
        <w:rFonts w:hint="default"/>
        <w:lang w:val="en-US" w:eastAsia="en-US" w:bidi="en-US"/>
      </w:rPr>
    </w:lvl>
    <w:lvl w:ilvl="8">
      <w:numFmt w:val="bullet"/>
      <w:lvlText w:val="•"/>
      <w:lvlJc w:val="left"/>
      <w:pPr>
        <w:ind w:left="1885" w:hanging="610"/>
      </w:pPr>
      <w:rPr>
        <w:rFonts w:hint="default"/>
        <w:lang w:val="en-US" w:eastAsia="en-US" w:bidi="en-US"/>
      </w:rPr>
    </w:lvl>
  </w:abstractNum>
  <w:abstractNum w:abstractNumId="3" w15:restartNumberingAfterBreak="0">
    <w:nsid w:val="499804FA"/>
    <w:multiLevelType w:val="multilevel"/>
    <w:tmpl w:val="EEACF13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FF4F61"/>
    <w:multiLevelType w:val="multilevel"/>
    <w:tmpl w:val="DF1A93EC"/>
    <w:lvl w:ilvl="0">
      <w:start w:val="7"/>
      <w:numFmt w:val="decimal"/>
      <w:lvlText w:val="%1."/>
      <w:lvlJc w:val="left"/>
      <w:pPr>
        <w:ind w:left="328" w:hanging="221"/>
      </w:pPr>
      <w:rPr>
        <w:rFonts w:ascii="Arial" w:eastAsia="Arial" w:hAnsi="Arial" w:cs="Arial" w:hint="default"/>
        <w:b/>
        <w:bCs/>
        <w:spacing w:val="-1"/>
        <w:w w:val="99"/>
        <w:sz w:val="20"/>
        <w:szCs w:val="20"/>
        <w:lang w:val="en-US" w:eastAsia="en-US" w:bidi="en-US"/>
      </w:rPr>
    </w:lvl>
    <w:lvl w:ilvl="1">
      <w:start w:val="1"/>
      <w:numFmt w:val="decimal"/>
      <w:lvlText w:val="%1.%2."/>
      <w:lvlJc w:val="left"/>
      <w:pPr>
        <w:ind w:left="813" w:hanging="387"/>
      </w:pPr>
      <w:rPr>
        <w:rFonts w:ascii="Arial" w:eastAsia="Arial" w:hAnsi="Arial" w:cs="Arial" w:hint="default"/>
        <w:b/>
        <w:bCs/>
        <w:spacing w:val="-1"/>
        <w:w w:val="99"/>
        <w:sz w:val="20"/>
        <w:szCs w:val="20"/>
        <w:lang w:val="en-US" w:eastAsia="en-US" w:bidi="en-US"/>
      </w:rPr>
    </w:lvl>
    <w:lvl w:ilvl="2">
      <w:numFmt w:val="bullet"/>
      <w:lvlText w:val="•"/>
      <w:lvlJc w:val="left"/>
      <w:pPr>
        <w:ind w:left="543" w:hanging="387"/>
      </w:pPr>
      <w:rPr>
        <w:rFonts w:hint="default"/>
        <w:lang w:val="en-US" w:eastAsia="en-US" w:bidi="en-US"/>
      </w:rPr>
    </w:lvl>
    <w:lvl w:ilvl="3">
      <w:numFmt w:val="bullet"/>
      <w:lvlText w:val="•"/>
      <w:lvlJc w:val="left"/>
      <w:pPr>
        <w:ind w:left="767" w:hanging="387"/>
      </w:pPr>
      <w:rPr>
        <w:rFonts w:hint="default"/>
        <w:lang w:val="en-US" w:eastAsia="en-US" w:bidi="en-US"/>
      </w:rPr>
    </w:lvl>
    <w:lvl w:ilvl="4">
      <w:numFmt w:val="bullet"/>
      <w:lvlText w:val="•"/>
      <w:lvlJc w:val="left"/>
      <w:pPr>
        <w:ind w:left="990" w:hanging="387"/>
      </w:pPr>
      <w:rPr>
        <w:rFonts w:hint="default"/>
        <w:lang w:val="en-US" w:eastAsia="en-US" w:bidi="en-US"/>
      </w:rPr>
    </w:lvl>
    <w:lvl w:ilvl="5">
      <w:numFmt w:val="bullet"/>
      <w:lvlText w:val="•"/>
      <w:lvlJc w:val="left"/>
      <w:pPr>
        <w:ind w:left="1214" w:hanging="387"/>
      </w:pPr>
      <w:rPr>
        <w:rFonts w:hint="default"/>
        <w:lang w:val="en-US" w:eastAsia="en-US" w:bidi="en-US"/>
      </w:rPr>
    </w:lvl>
    <w:lvl w:ilvl="6">
      <w:numFmt w:val="bullet"/>
      <w:lvlText w:val="•"/>
      <w:lvlJc w:val="left"/>
      <w:pPr>
        <w:ind w:left="1437" w:hanging="387"/>
      </w:pPr>
      <w:rPr>
        <w:rFonts w:hint="default"/>
        <w:lang w:val="en-US" w:eastAsia="en-US" w:bidi="en-US"/>
      </w:rPr>
    </w:lvl>
    <w:lvl w:ilvl="7">
      <w:numFmt w:val="bullet"/>
      <w:lvlText w:val="•"/>
      <w:lvlJc w:val="left"/>
      <w:pPr>
        <w:ind w:left="1661" w:hanging="387"/>
      </w:pPr>
      <w:rPr>
        <w:rFonts w:hint="default"/>
        <w:lang w:val="en-US" w:eastAsia="en-US" w:bidi="en-US"/>
      </w:rPr>
    </w:lvl>
    <w:lvl w:ilvl="8">
      <w:numFmt w:val="bullet"/>
      <w:lvlText w:val="•"/>
      <w:lvlJc w:val="left"/>
      <w:pPr>
        <w:ind w:left="1884" w:hanging="387"/>
      </w:pPr>
      <w:rPr>
        <w:rFonts w:hint="default"/>
        <w:lang w:val="en-US" w:eastAsia="en-US" w:bidi="en-US"/>
      </w:rPr>
    </w:lvl>
  </w:abstractNum>
  <w:abstractNum w:abstractNumId="5" w15:restartNumberingAfterBreak="0">
    <w:nsid w:val="5B7A19AE"/>
    <w:multiLevelType w:val="multilevel"/>
    <w:tmpl w:val="7248962C"/>
    <w:lvl w:ilvl="0">
      <w:start w:val="12"/>
      <w:numFmt w:val="decimal"/>
      <w:lvlText w:val="%1"/>
      <w:lvlJc w:val="left"/>
      <w:pPr>
        <w:ind w:left="107" w:hanging="440"/>
      </w:pPr>
      <w:rPr>
        <w:rFonts w:hint="default"/>
        <w:lang w:val="en-US" w:eastAsia="en-US" w:bidi="en-US"/>
      </w:rPr>
    </w:lvl>
    <w:lvl w:ilvl="1">
      <w:start w:val="2"/>
      <w:numFmt w:val="decimal"/>
      <w:lvlText w:val="%1.%2"/>
      <w:lvlJc w:val="left"/>
      <w:pPr>
        <w:ind w:left="107" w:hanging="440"/>
      </w:pPr>
      <w:rPr>
        <w:rFonts w:ascii="Arial" w:eastAsia="Arial" w:hAnsi="Arial" w:cs="Arial" w:hint="default"/>
        <w:b/>
        <w:bCs/>
        <w:spacing w:val="-1"/>
        <w:w w:val="99"/>
        <w:sz w:val="20"/>
        <w:szCs w:val="20"/>
        <w:lang w:val="en-US" w:eastAsia="en-US" w:bidi="en-US"/>
      </w:rPr>
    </w:lvl>
    <w:lvl w:ilvl="2">
      <w:start w:val="1"/>
      <w:numFmt w:val="decimal"/>
      <w:lvlText w:val="%1.%2.%3"/>
      <w:lvlJc w:val="left"/>
      <w:pPr>
        <w:ind w:left="894" w:hanging="610"/>
      </w:pPr>
      <w:rPr>
        <w:rFonts w:ascii="Arial" w:eastAsia="Arial" w:hAnsi="Arial" w:cs="Arial" w:hint="default"/>
        <w:b/>
        <w:bCs/>
        <w:spacing w:val="-1"/>
        <w:w w:val="99"/>
        <w:sz w:val="20"/>
        <w:szCs w:val="20"/>
        <w:lang w:val="en-US" w:eastAsia="en-US" w:bidi="en-US"/>
      </w:rPr>
    </w:lvl>
    <w:lvl w:ilvl="3">
      <w:numFmt w:val="bullet"/>
      <w:lvlText w:val="•"/>
      <w:lvlJc w:val="left"/>
      <w:pPr>
        <w:ind w:left="769" w:hanging="610"/>
      </w:pPr>
      <w:rPr>
        <w:rFonts w:hint="default"/>
        <w:lang w:val="en-US" w:eastAsia="en-US" w:bidi="en-US"/>
      </w:rPr>
    </w:lvl>
    <w:lvl w:ilvl="4">
      <w:numFmt w:val="bullet"/>
      <w:lvlText w:val="•"/>
      <w:lvlJc w:val="left"/>
      <w:pPr>
        <w:ind w:left="992" w:hanging="610"/>
      </w:pPr>
      <w:rPr>
        <w:rFonts w:hint="default"/>
        <w:lang w:val="en-US" w:eastAsia="en-US" w:bidi="en-US"/>
      </w:rPr>
    </w:lvl>
    <w:lvl w:ilvl="5">
      <w:numFmt w:val="bullet"/>
      <w:lvlText w:val="•"/>
      <w:lvlJc w:val="left"/>
      <w:pPr>
        <w:ind w:left="1216" w:hanging="610"/>
      </w:pPr>
      <w:rPr>
        <w:rFonts w:hint="default"/>
        <w:lang w:val="en-US" w:eastAsia="en-US" w:bidi="en-US"/>
      </w:rPr>
    </w:lvl>
    <w:lvl w:ilvl="6">
      <w:numFmt w:val="bullet"/>
      <w:lvlText w:val="•"/>
      <w:lvlJc w:val="left"/>
      <w:pPr>
        <w:ind w:left="1439" w:hanging="610"/>
      </w:pPr>
      <w:rPr>
        <w:rFonts w:hint="default"/>
        <w:lang w:val="en-US" w:eastAsia="en-US" w:bidi="en-US"/>
      </w:rPr>
    </w:lvl>
    <w:lvl w:ilvl="7">
      <w:numFmt w:val="bullet"/>
      <w:lvlText w:val="•"/>
      <w:lvlJc w:val="left"/>
      <w:pPr>
        <w:ind w:left="1662" w:hanging="610"/>
      </w:pPr>
      <w:rPr>
        <w:rFonts w:hint="default"/>
        <w:lang w:val="en-US" w:eastAsia="en-US" w:bidi="en-US"/>
      </w:rPr>
    </w:lvl>
    <w:lvl w:ilvl="8">
      <w:numFmt w:val="bullet"/>
      <w:lvlText w:val="•"/>
      <w:lvlJc w:val="left"/>
      <w:pPr>
        <w:ind w:left="1885" w:hanging="610"/>
      </w:pPr>
      <w:rPr>
        <w:rFonts w:hint="default"/>
        <w:lang w:val="en-US" w:eastAsia="en-US" w:bidi="en-US"/>
      </w:rPr>
    </w:lvl>
  </w:abstractNum>
  <w:abstractNum w:abstractNumId="6" w15:restartNumberingAfterBreak="0">
    <w:nsid w:val="6EE77498"/>
    <w:multiLevelType w:val="multilevel"/>
    <w:tmpl w:val="B6242EBC"/>
    <w:lvl w:ilvl="0">
      <w:start w:val="5"/>
      <w:numFmt w:val="decimal"/>
      <w:lvlText w:val="%1."/>
      <w:lvlJc w:val="left"/>
      <w:pPr>
        <w:ind w:left="328" w:hanging="221"/>
      </w:pPr>
      <w:rPr>
        <w:rFonts w:ascii="Arial" w:eastAsia="Arial" w:hAnsi="Arial" w:cs="Arial" w:hint="default"/>
        <w:b/>
        <w:bCs/>
        <w:spacing w:val="-1"/>
        <w:w w:val="99"/>
        <w:sz w:val="20"/>
        <w:szCs w:val="20"/>
        <w:lang w:val="en-US" w:eastAsia="en-US" w:bidi="en-US"/>
      </w:rPr>
    </w:lvl>
    <w:lvl w:ilvl="1">
      <w:start w:val="1"/>
      <w:numFmt w:val="decimal"/>
      <w:lvlText w:val="%1.%2."/>
      <w:lvlJc w:val="left"/>
      <w:pPr>
        <w:ind w:left="107" w:hanging="387"/>
      </w:pPr>
      <w:rPr>
        <w:rFonts w:ascii="Arial" w:eastAsia="Arial" w:hAnsi="Arial" w:cs="Arial" w:hint="default"/>
        <w:b/>
        <w:bCs/>
        <w:spacing w:val="-1"/>
        <w:w w:val="99"/>
        <w:sz w:val="20"/>
        <w:szCs w:val="20"/>
        <w:lang w:val="en-US" w:eastAsia="en-US" w:bidi="en-US"/>
      </w:rPr>
    </w:lvl>
    <w:lvl w:ilvl="2">
      <w:numFmt w:val="bullet"/>
      <w:lvlText w:val="•"/>
      <w:lvlJc w:val="left"/>
      <w:pPr>
        <w:ind w:left="543" w:hanging="387"/>
      </w:pPr>
      <w:rPr>
        <w:rFonts w:hint="default"/>
        <w:lang w:val="en-US" w:eastAsia="en-US" w:bidi="en-US"/>
      </w:rPr>
    </w:lvl>
    <w:lvl w:ilvl="3">
      <w:numFmt w:val="bullet"/>
      <w:lvlText w:val="•"/>
      <w:lvlJc w:val="left"/>
      <w:pPr>
        <w:ind w:left="767" w:hanging="387"/>
      </w:pPr>
      <w:rPr>
        <w:rFonts w:hint="default"/>
        <w:lang w:val="en-US" w:eastAsia="en-US" w:bidi="en-US"/>
      </w:rPr>
    </w:lvl>
    <w:lvl w:ilvl="4">
      <w:numFmt w:val="bullet"/>
      <w:lvlText w:val="•"/>
      <w:lvlJc w:val="left"/>
      <w:pPr>
        <w:ind w:left="990" w:hanging="387"/>
      </w:pPr>
      <w:rPr>
        <w:rFonts w:hint="default"/>
        <w:lang w:val="en-US" w:eastAsia="en-US" w:bidi="en-US"/>
      </w:rPr>
    </w:lvl>
    <w:lvl w:ilvl="5">
      <w:numFmt w:val="bullet"/>
      <w:lvlText w:val="•"/>
      <w:lvlJc w:val="left"/>
      <w:pPr>
        <w:ind w:left="1214" w:hanging="387"/>
      </w:pPr>
      <w:rPr>
        <w:rFonts w:hint="default"/>
        <w:lang w:val="en-US" w:eastAsia="en-US" w:bidi="en-US"/>
      </w:rPr>
    </w:lvl>
    <w:lvl w:ilvl="6">
      <w:numFmt w:val="bullet"/>
      <w:lvlText w:val="•"/>
      <w:lvlJc w:val="left"/>
      <w:pPr>
        <w:ind w:left="1437" w:hanging="387"/>
      </w:pPr>
      <w:rPr>
        <w:rFonts w:hint="default"/>
        <w:lang w:val="en-US" w:eastAsia="en-US" w:bidi="en-US"/>
      </w:rPr>
    </w:lvl>
    <w:lvl w:ilvl="7">
      <w:numFmt w:val="bullet"/>
      <w:lvlText w:val="•"/>
      <w:lvlJc w:val="left"/>
      <w:pPr>
        <w:ind w:left="1661" w:hanging="387"/>
      </w:pPr>
      <w:rPr>
        <w:rFonts w:hint="default"/>
        <w:lang w:val="en-US" w:eastAsia="en-US" w:bidi="en-US"/>
      </w:rPr>
    </w:lvl>
    <w:lvl w:ilvl="8">
      <w:numFmt w:val="bullet"/>
      <w:lvlText w:val="•"/>
      <w:lvlJc w:val="left"/>
      <w:pPr>
        <w:ind w:left="1884" w:hanging="387"/>
      </w:pPr>
      <w:rPr>
        <w:rFonts w:hint="default"/>
        <w:lang w:val="en-US" w:eastAsia="en-US" w:bidi="en-US"/>
      </w:rPr>
    </w:lvl>
  </w:abstractNum>
  <w:abstractNum w:abstractNumId="7" w15:restartNumberingAfterBreak="0">
    <w:nsid w:val="7F3B51D3"/>
    <w:multiLevelType w:val="multilevel"/>
    <w:tmpl w:val="5838DF34"/>
    <w:lvl w:ilvl="0">
      <w:start w:val="6"/>
      <w:numFmt w:val="decimal"/>
      <w:lvlText w:val="%1."/>
      <w:lvlJc w:val="left"/>
      <w:pPr>
        <w:ind w:left="107" w:hanging="221"/>
      </w:pPr>
      <w:rPr>
        <w:rFonts w:ascii="Arial" w:eastAsia="Arial" w:hAnsi="Arial" w:cs="Arial" w:hint="default"/>
        <w:b/>
        <w:bCs/>
        <w:spacing w:val="-1"/>
        <w:w w:val="99"/>
        <w:sz w:val="20"/>
        <w:szCs w:val="20"/>
        <w:lang w:val="en-US" w:eastAsia="en-US" w:bidi="en-US"/>
      </w:rPr>
    </w:lvl>
    <w:lvl w:ilvl="1">
      <w:start w:val="1"/>
      <w:numFmt w:val="decimal"/>
      <w:lvlText w:val="%1.%2."/>
      <w:lvlJc w:val="left"/>
      <w:pPr>
        <w:ind w:left="107" w:hanging="387"/>
      </w:pPr>
      <w:rPr>
        <w:rFonts w:ascii="Calibri" w:eastAsia="Arial" w:hAnsi="Calibri" w:cs="Arial" w:hint="default"/>
        <w:b/>
        <w:bCs/>
        <w:spacing w:val="-1"/>
        <w:w w:val="99"/>
        <w:sz w:val="24"/>
        <w:szCs w:val="24"/>
        <w:lang w:val="en-US" w:eastAsia="en-US" w:bidi="en-US"/>
      </w:rPr>
    </w:lvl>
    <w:lvl w:ilvl="2">
      <w:numFmt w:val="bullet"/>
      <w:lvlText w:val="•"/>
      <w:lvlJc w:val="left"/>
      <w:pPr>
        <w:ind w:left="546" w:hanging="387"/>
      </w:pPr>
      <w:rPr>
        <w:rFonts w:hint="default"/>
        <w:lang w:val="en-US" w:eastAsia="en-US" w:bidi="en-US"/>
      </w:rPr>
    </w:lvl>
    <w:lvl w:ilvl="3">
      <w:numFmt w:val="bullet"/>
      <w:lvlText w:val="•"/>
      <w:lvlJc w:val="left"/>
      <w:pPr>
        <w:ind w:left="769" w:hanging="387"/>
      </w:pPr>
      <w:rPr>
        <w:rFonts w:hint="default"/>
        <w:lang w:val="en-US" w:eastAsia="en-US" w:bidi="en-US"/>
      </w:rPr>
    </w:lvl>
    <w:lvl w:ilvl="4">
      <w:numFmt w:val="bullet"/>
      <w:lvlText w:val="•"/>
      <w:lvlJc w:val="left"/>
      <w:pPr>
        <w:ind w:left="992" w:hanging="387"/>
      </w:pPr>
      <w:rPr>
        <w:rFonts w:hint="default"/>
        <w:lang w:val="en-US" w:eastAsia="en-US" w:bidi="en-US"/>
      </w:rPr>
    </w:lvl>
    <w:lvl w:ilvl="5">
      <w:numFmt w:val="bullet"/>
      <w:lvlText w:val="•"/>
      <w:lvlJc w:val="left"/>
      <w:pPr>
        <w:ind w:left="1216" w:hanging="387"/>
      </w:pPr>
      <w:rPr>
        <w:rFonts w:hint="default"/>
        <w:lang w:val="en-US" w:eastAsia="en-US" w:bidi="en-US"/>
      </w:rPr>
    </w:lvl>
    <w:lvl w:ilvl="6">
      <w:numFmt w:val="bullet"/>
      <w:lvlText w:val="•"/>
      <w:lvlJc w:val="left"/>
      <w:pPr>
        <w:ind w:left="1439" w:hanging="387"/>
      </w:pPr>
      <w:rPr>
        <w:rFonts w:hint="default"/>
        <w:lang w:val="en-US" w:eastAsia="en-US" w:bidi="en-US"/>
      </w:rPr>
    </w:lvl>
    <w:lvl w:ilvl="7">
      <w:numFmt w:val="bullet"/>
      <w:lvlText w:val="•"/>
      <w:lvlJc w:val="left"/>
      <w:pPr>
        <w:ind w:left="1662" w:hanging="387"/>
      </w:pPr>
      <w:rPr>
        <w:rFonts w:hint="default"/>
        <w:lang w:val="en-US" w:eastAsia="en-US" w:bidi="en-US"/>
      </w:rPr>
    </w:lvl>
    <w:lvl w:ilvl="8">
      <w:numFmt w:val="bullet"/>
      <w:lvlText w:val="•"/>
      <w:lvlJc w:val="left"/>
      <w:pPr>
        <w:ind w:left="1885" w:hanging="387"/>
      </w:pPr>
      <w:rPr>
        <w:rFonts w:hint="default"/>
        <w:lang w:val="en-US" w:eastAsia="en-US" w:bidi="en-US"/>
      </w:rPr>
    </w:lvl>
  </w:abstractNum>
  <w:num w:numId="1">
    <w:abstractNumId w:val="6"/>
  </w:num>
  <w:num w:numId="2">
    <w:abstractNumId w:val="7"/>
  </w:num>
  <w:num w:numId="3">
    <w:abstractNumId w:val="0"/>
  </w:num>
  <w:num w:numId="4">
    <w:abstractNumId w:val="4"/>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C7B"/>
    <w:rsid w:val="000172B6"/>
    <w:rsid w:val="0001733D"/>
    <w:rsid w:val="00045E45"/>
    <w:rsid w:val="00082B7C"/>
    <w:rsid w:val="00090FF3"/>
    <w:rsid w:val="0009113A"/>
    <w:rsid w:val="000C0AB0"/>
    <w:rsid w:val="000C1FB7"/>
    <w:rsid w:val="000C6DFE"/>
    <w:rsid w:val="000D06E0"/>
    <w:rsid w:val="000D69E8"/>
    <w:rsid w:val="000E5B7D"/>
    <w:rsid w:val="0010096B"/>
    <w:rsid w:val="00104C93"/>
    <w:rsid w:val="00123647"/>
    <w:rsid w:val="00151E15"/>
    <w:rsid w:val="00164913"/>
    <w:rsid w:val="001702C3"/>
    <w:rsid w:val="00194A5C"/>
    <w:rsid w:val="00197448"/>
    <w:rsid w:val="001A18C2"/>
    <w:rsid w:val="001D7E9E"/>
    <w:rsid w:val="001E61A6"/>
    <w:rsid w:val="001F4238"/>
    <w:rsid w:val="001F4DF6"/>
    <w:rsid w:val="001F6309"/>
    <w:rsid w:val="002342EA"/>
    <w:rsid w:val="00237209"/>
    <w:rsid w:val="00266597"/>
    <w:rsid w:val="002940E4"/>
    <w:rsid w:val="002A4744"/>
    <w:rsid w:val="002B255B"/>
    <w:rsid w:val="002C1918"/>
    <w:rsid w:val="002D2945"/>
    <w:rsid w:val="002E25F7"/>
    <w:rsid w:val="002E6F0F"/>
    <w:rsid w:val="002F1BAF"/>
    <w:rsid w:val="003047EC"/>
    <w:rsid w:val="00344F0F"/>
    <w:rsid w:val="00356AAB"/>
    <w:rsid w:val="0037561F"/>
    <w:rsid w:val="00381104"/>
    <w:rsid w:val="00381C7B"/>
    <w:rsid w:val="00385631"/>
    <w:rsid w:val="00396C3F"/>
    <w:rsid w:val="003B0AB9"/>
    <w:rsid w:val="003B11D7"/>
    <w:rsid w:val="003D3365"/>
    <w:rsid w:val="003D62DA"/>
    <w:rsid w:val="003E13DE"/>
    <w:rsid w:val="003E1CDD"/>
    <w:rsid w:val="003F5B46"/>
    <w:rsid w:val="003F6B90"/>
    <w:rsid w:val="00413761"/>
    <w:rsid w:val="00416E70"/>
    <w:rsid w:val="004304CB"/>
    <w:rsid w:val="00464250"/>
    <w:rsid w:val="004867CF"/>
    <w:rsid w:val="004954AC"/>
    <w:rsid w:val="004C18F1"/>
    <w:rsid w:val="004C20DE"/>
    <w:rsid w:val="00505760"/>
    <w:rsid w:val="005072DA"/>
    <w:rsid w:val="00530F55"/>
    <w:rsid w:val="00535ACA"/>
    <w:rsid w:val="005512B6"/>
    <w:rsid w:val="00570473"/>
    <w:rsid w:val="00576AE8"/>
    <w:rsid w:val="00580A11"/>
    <w:rsid w:val="005A1C82"/>
    <w:rsid w:val="005D51BA"/>
    <w:rsid w:val="005E5A96"/>
    <w:rsid w:val="005F1EDA"/>
    <w:rsid w:val="006341D8"/>
    <w:rsid w:val="00641D9F"/>
    <w:rsid w:val="00652EEB"/>
    <w:rsid w:val="006608C4"/>
    <w:rsid w:val="00664F6C"/>
    <w:rsid w:val="00667FD7"/>
    <w:rsid w:val="006D0A06"/>
    <w:rsid w:val="006F14CF"/>
    <w:rsid w:val="007170B2"/>
    <w:rsid w:val="00720837"/>
    <w:rsid w:val="0072436C"/>
    <w:rsid w:val="007825F6"/>
    <w:rsid w:val="00784120"/>
    <w:rsid w:val="007D7993"/>
    <w:rsid w:val="007F1D38"/>
    <w:rsid w:val="007F65AA"/>
    <w:rsid w:val="00802747"/>
    <w:rsid w:val="00807A6D"/>
    <w:rsid w:val="00807F3C"/>
    <w:rsid w:val="0081738A"/>
    <w:rsid w:val="00830CE9"/>
    <w:rsid w:val="00855801"/>
    <w:rsid w:val="00855B4C"/>
    <w:rsid w:val="008A7E47"/>
    <w:rsid w:val="008B4FFA"/>
    <w:rsid w:val="008B66C7"/>
    <w:rsid w:val="008C06E0"/>
    <w:rsid w:val="008D2D24"/>
    <w:rsid w:val="008D5B7F"/>
    <w:rsid w:val="008E4CB5"/>
    <w:rsid w:val="008E5818"/>
    <w:rsid w:val="008F06DA"/>
    <w:rsid w:val="008F2EEE"/>
    <w:rsid w:val="009061FE"/>
    <w:rsid w:val="00923B6D"/>
    <w:rsid w:val="00932823"/>
    <w:rsid w:val="00951672"/>
    <w:rsid w:val="00961AF8"/>
    <w:rsid w:val="00965F13"/>
    <w:rsid w:val="009834B3"/>
    <w:rsid w:val="00986D1D"/>
    <w:rsid w:val="009A6878"/>
    <w:rsid w:val="009D70B2"/>
    <w:rsid w:val="009E1500"/>
    <w:rsid w:val="009E2889"/>
    <w:rsid w:val="009E6F5A"/>
    <w:rsid w:val="00A43303"/>
    <w:rsid w:val="00A508B9"/>
    <w:rsid w:val="00A57578"/>
    <w:rsid w:val="00A72AC6"/>
    <w:rsid w:val="00AE3414"/>
    <w:rsid w:val="00B146F0"/>
    <w:rsid w:val="00B26503"/>
    <w:rsid w:val="00B54846"/>
    <w:rsid w:val="00B601E0"/>
    <w:rsid w:val="00B67CF5"/>
    <w:rsid w:val="00B81F35"/>
    <w:rsid w:val="00B925A7"/>
    <w:rsid w:val="00B9736A"/>
    <w:rsid w:val="00BA1230"/>
    <w:rsid w:val="00BE6178"/>
    <w:rsid w:val="00BF065D"/>
    <w:rsid w:val="00C0507E"/>
    <w:rsid w:val="00C56129"/>
    <w:rsid w:val="00C62F1F"/>
    <w:rsid w:val="00C67764"/>
    <w:rsid w:val="00C70B1F"/>
    <w:rsid w:val="00C93DC0"/>
    <w:rsid w:val="00CA2FD4"/>
    <w:rsid w:val="00CA6A30"/>
    <w:rsid w:val="00CB45B5"/>
    <w:rsid w:val="00CB523D"/>
    <w:rsid w:val="00CC7852"/>
    <w:rsid w:val="00CE419A"/>
    <w:rsid w:val="00D25D8C"/>
    <w:rsid w:val="00D27134"/>
    <w:rsid w:val="00D36469"/>
    <w:rsid w:val="00D41B6F"/>
    <w:rsid w:val="00D61CFF"/>
    <w:rsid w:val="00D677C1"/>
    <w:rsid w:val="00DA27EA"/>
    <w:rsid w:val="00DA3316"/>
    <w:rsid w:val="00DB040C"/>
    <w:rsid w:val="00DB3CA7"/>
    <w:rsid w:val="00DC030B"/>
    <w:rsid w:val="00E07D15"/>
    <w:rsid w:val="00E07D8F"/>
    <w:rsid w:val="00E35F1D"/>
    <w:rsid w:val="00E553EB"/>
    <w:rsid w:val="00E56099"/>
    <w:rsid w:val="00E6504A"/>
    <w:rsid w:val="00E65176"/>
    <w:rsid w:val="00E75855"/>
    <w:rsid w:val="00E831E1"/>
    <w:rsid w:val="00EA5DAD"/>
    <w:rsid w:val="00EB529F"/>
    <w:rsid w:val="00F005C7"/>
    <w:rsid w:val="00F00960"/>
    <w:rsid w:val="00F515D1"/>
    <w:rsid w:val="00F52EB8"/>
    <w:rsid w:val="00F95393"/>
    <w:rsid w:val="00FD7D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6CBD3"/>
  <w14:defaultImageDpi w14:val="300"/>
  <w15:docId w15:val="{D2A5F4DB-14D7-4E7A-909A-E2332060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265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5760"/>
    <w:pPr>
      <w:widowControl w:val="0"/>
      <w:autoSpaceDE w:val="0"/>
      <w:autoSpaceDN w:val="0"/>
    </w:pPr>
    <w:rPr>
      <w:rFonts w:ascii="Arial" w:eastAsia="Arial" w:hAnsi="Arial" w:cs="Arial"/>
      <w:sz w:val="22"/>
      <w:szCs w:val="22"/>
      <w:lang w:val="en-US" w:bidi="en-US"/>
    </w:rPr>
  </w:style>
  <w:style w:type="paragraph" w:styleId="ListParagraph">
    <w:name w:val="List Paragraph"/>
    <w:basedOn w:val="Normal"/>
    <w:uiPriority w:val="34"/>
    <w:qFormat/>
    <w:rsid w:val="00C93DC0"/>
    <w:pPr>
      <w:ind w:left="720"/>
      <w:contextualSpacing/>
    </w:pPr>
  </w:style>
  <w:style w:type="paragraph" w:styleId="Footer">
    <w:name w:val="footer"/>
    <w:basedOn w:val="Normal"/>
    <w:link w:val="FooterChar"/>
    <w:uiPriority w:val="99"/>
    <w:unhideWhenUsed/>
    <w:rsid w:val="00DA3316"/>
    <w:pPr>
      <w:tabs>
        <w:tab w:val="center" w:pos="4320"/>
        <w:tab w:val="right" w:pos="8640"/>
      </w:tabs>
    </w:pPr>
  </w:style>
  <w:style w:type="character" w:customStyle="1" w:styleId="FooterChar">
    <w:name w:val="Footer Char"/>
    <w:basedOn w:val="DefaultParagraphFont"/>
    <w:link w:val="Footer"/>
    <w:uiPriority w:val="99"/>
    <w:rsid w:val="00DA3316"/>
  </w:style>
  <w:style w:type="character" w:styleId="PageNumber">
    <w:name w:val="page number"/>
    <w:basedOn w:val="DefaultParagraphFont"/>
    <w:uiPriority w:val="99"/>
    <w:semiHidden/>
    <w:unhideWhenUsed/>
    <w:rsid w:val="00DA3316"/>
  </w:style>
  <w:style w:type="character" w:customStyle="1" w:styleId="Heading2Char">
    <w:name w:val="Heading 2 Char"/>
    <w:basedOn w:val="DefaultParagraphFont"/>
    <w:link w:val="Heading2"/>
    <w:uiPriority w:val="9"/>
    <w:rsid w:val="00B2650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4F9D-C00B-4B8C-B375-55E347C7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Climate Bonds Initiative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Bigoni</dc:creator>
  <cp:keywords/>
  <dc:description/>
  <cp:lastModifiedBy>Carman M</cp:lastModifiedBy>
  <cp:revision>4</cp:revision>
  <dcterms:created xsi:type="dcterms:W3CDTF">2020-05-18T10:07:00Z</dcterms:created>
  <dcterms:modified xsi:type="dcterms:W3CDTF">2020-05-18T11:16:00Z</dcterms:modified>
</cp:coreProperties>
</file>