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36" w:rsidRPr="00C46291" w:rsidRDefault="00C46291">
      <w:pPr>
        <w:rPr>
          <w:sz w:val="20"/>
        </w:rPr>
      </w:pPr>
      <w:r w:rsidRPr="000D593D">
        <w:rPr>
          <w:b/>
          <w:color w:val="4F81BD" w:themeColor="accent1"/>
          <w:sz w:val="20"/>
        </w:rPr>
        <w:t>Climate Bond Summary Sheet</w:t>
      </w:r>
      <w:r w:rsidR="00804536" w:rsidRPr="00C46291">
        <w:rPr>
          <w:sz w:val="20"/>
        </w:rPr>
        <w:t>:</w:t>
      </w:r>
      <w:r>
        <w:rPr>
          <w:sz w:val="20"/>
        </w:rPr>
        <w:t xml:space="preserve">  </w:t>
      </w:r>
      <w:proofErr w:type="spellStart"/>
      <w:r w:rsidR="0008176D">
        <w:rPr>
          <w:b/>
          <w:sz w:val="24"/>
        </w:rPr>
        <w:t>Nordex</w:t>
      </w:r>
      <w:proofErr w:type="spellEnd"/>
      <w:r w:rsidR="0008176D">
        <w:rPr>
          <w:b/>
          <w:sz w:val="24"/>
        </w:rPr>
        <w:t xml:space="preserve"> SE Green </w:t>
      </w:r>
      <w:proofErr w:type="spellStart"/>
      <w:r w:rsidR="0008176D">
        <w:rPr>
          <w:b/>
          <w:sz w:val="24"/>
        </w:rPr>
        <w:t>Schuldschein</w:t>
      </w:r>
      <w:proofErr w:type="spellEnd"/>
    </w:p>
    <w:p w:rsidR="00804536" w:rsidRPr="00C46291" w:rsidRDefault="00804536">
      <w:pPr>
        <w:rPr>
          <w:sz w:val="20"/>
        </w:rPr>
      </w:pPr>
      <w:r w:rsidRPr="00C46291">
        <w:rPr>
          <w:sz w:val="20"/>
        </w:rPr>
        <w:t xml:space="preserve">Further information on this Certified Climate Bond is contained in the </w:t>
      </w:r>
      <w:r w:rsidRPr="000D593D">
        <w:rPr>
          <w:color w:val="0070C0"/>
          <w:sz w:val="20"/>
          <w:u w:val="single"/>
        </w:rPr>
        <w:t>Verifier’s Report</w:t>
      </w:r>
      <w:r w:rsidRPr="000D593D">
        <w:rPr>
          <w:color w:val="0070C0"/>
          <w:sz w:val="20"/>
        </w:rPr>
        <w:t xml:space="preserve"> </w:t>
      </w:r>
      <w:r w:rsidRPr="00C46291">
        <w:rPr>
          <w:sz w:val="20"/>
        </w:rPr>
        <w:t xml:space="preserve">and the </w:t>
      </w:r>
      <w:r w:rsidRPr="000D593D">
        <w:rPr>
          <w:color w:val="0070C0"/>
          <w:sz w:val="20"/>
          <w:u w:val="single"/>
        </w:rPr>
        <w:t>Climate Bonds Blog</w:t>
      </w:r>
      <w:r w:rsidRPr="000D593D">
        <w:rPr>
          <w:color w:val="0070C0"/>
          <w:sz w:val="20"/>
        </w:rPr>
        <w:t xml:space="preserve"> </w:t>
      </w:r>
      <w:r w:rsidRPr="00C46291">
        <w:rPr>
          <w:sz w:val="20"/>
        </w:rPr>
        <w:t xml:space="preserve">which are available from the Climate Bonds Initiative </w:t>
      </w:r>
      <w:r w:rsidRPr="000D593D">
        <w:rPr>
          <w:color w:val="0070C0"/>
          <w:sz w:val="20"/>
          <w:u w:val="single"/>
        </w:rPr>
        <w:t>website</w:t>
      </w:r>
      <w:r w:rsidRPr="00C46291">
        <w:rPr>
          <w:sz w:val="20"/>
        </w:rPr>
        <w:t>.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955EB5" w:rsidRPr="000D593D" w:rsidTr="007B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955EB5" w:rsidRPr="000D593D" w:rsidRDefault="00955EB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Nordex</w:t>
            </w:r>
            <w:proofErr w:type="spellEnd"/>
            <w:r>
              <w:rPr>
                <w:sz w:val="20"/>
              </w:rPr>
              <w:t xml:space="preserve"> SE Green </w:t>
            </w:r>
            <w:proofErr w:type="spellStart"/>
            <w:r>
              <w:rPr>
                <w:sz w:val="20"/>
              </w:rPr>
              <w:t>Schuldschein</w:t>
            </w:r>
            <w:proofErr w:type="spellEnd"/>
          </w:p>
        </w:tc>
      </w:tr>
      <w:tr w:rsidR="00804536" w:rsidRPr="000D593D" w:rsidTr="00804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04536" w:rsidRPr="000D593D" w:rsidRDefault="00804536">
            <w:pPr>
              <w:rPr>
                <w:sz w:val="20"/>
              </w:rPr>
            </w:pPr>
            <w:r w:rsidRPr="000D593D">
              <w:rPr>
                <w:sz w:val="20"/>
              </w:rPr>
              <w:t>Issuer</w:t>
            </w:r>
          </w:p>
        </w:tc>
        <w:tc>
          <w:tcPr>
            <w:tcW w:w="7433" w:type="dxa"/>
          </w:tcPr>
          <w:p w:rsidR="0008176D" w:rsidRPr="000D593D" w:rsidRDefault="00081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proofErr w:type="spellStart"/>
            <w:r>
              <w:rPr>
                <w:sz w:val="20"/>
              </w:rPr>
              <w:t>Nordex</w:t>
            </w:r>
            <w:proofErr w:type="spellEnd"/>
            <w:r>
              <w:rPr>
                <w:sz w:val="20"/>
              </w:rPr>
              <w:t xml:space="preserve"> SE</w:t>
            </w:r>
          </w:p>
        </w:tc>
      </w:tr>
      <w:tr w:rsidR="00804536" w:rsidRPr="000D593D" w:rsidTr="00804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04536" w:rsidRPr="000D593D" w:rsidRDefault="00804536">
            <w:pPr>
              <w:rPr>
                <w:sz w:val="20"/>
              </w:rPr>
            </w:pPr>
            <w:r w:rsidRPr="000D593D">
              <w:rPr>
                <w:sz w:val="20"/>
              </w:rPr>
              <w:t>Jurisdiction</w:t>
            </w:r>
          </w:p>
        </w:tc>
        <w:tc>
          <w:tcPr>
            <w:tcW w:w="7433" w:type="dxa"/>
          </w:tcPr>
          <w:p w:rsidR="00804536" w:rsidRPr="000D593D" w:rsidRDefault="00081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Germany (German </w:t>
            </w:r>
            <w:proofErr w:type="spellStart"/>
            <w:r>
              <w:rPr>
                <w:sz w:val="20"/>
              </w:rPr>
              <w:t>Schuldschein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04536" w:rsidRPr="000D593D" w:rsidTr="00804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04536" w:rsidRPr="000D593D" w:rsidRDefault="00804536" w:rsidP="00C46291">
            <w:pPr>
              <w:rPr>
                <w:sz w:val="20"/>
              </w:rPr>
            </w:pPr>
            <w:r w:rsidRPr="000D593D">
              <w:rPr>
                <w:sz w:val="20"/>
              </w:rPr>
              <w:t xml:space="preserve">Value &amp; </w:t>
            </w:r>
            <w:r w:rsidR="00C46291" w:rsidRPr="000D593D">
              <w:rPr>
                <w:sz w:val="20"/>
              </w:rPr>
              <w:t>C</w:t>
            </w:r>
            <w:r w:rsidRPr="000D593D">
              <w:rPr>
                <w:sz w:val="20"/>
              </w:rPr>
              <w:t>urrency</w:t>
            </w:r>
          </w:p>
        </w:tc>
        <w:tc>
          <w:tcPr>
            <w:tcW w:w="7433" w:type="dxa"/>
          </w:tcPr>
          <w:p w:rsidR="00804536" w:rsidRPr="000D593D" w:rsidRDefault="00F47853" w:rsidP="00F47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Up to 450 million EUR</w:t>
            </w:r>
            <w:r w:rsidR="008F27D7" w:rsidRPr="000D593D">
              <w:rPr>
                <w:sz w:val="20"/>
              </w:rPr>
              <w:t xml:space="preserve"> </w:t>
            </w:r>
            <w:r w:rsidR="008F27D7" w:rsidRPr="00955EB5">
              <w:rPr>
                <w:sz w:val="20"/>
              </w:rPr>
              <w:t>(estimated value until issued)</w:t>
            </w:r>
            <w:r w:rsidR="008F27D7" w:rsidRPr="000D593D">
              <w:rPr>
                <w:sz w:val="20"/>
              </w:rPr>
              <w:t xml:space="preserve"> </w:t>
            </w:r>
          </w:p>
        </w:tc>
      </w:tr>
      <w:tr w:rsidR="00804536" w:rsidRPr="000D593D" w:rsidTr="00804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04536" w:rsidRPr="000D593D" w:rsidRDefault="00804536" w:rsidP="00C46291">
            <w:pPr>
              <w:rPr>
                <w:sz w:val="20"/>
              </w:rPr>
            </w:pPr>
            <w:r w:rsidRPr="000D593D">
              <w:rPr>
                <w:sz w:val="20"/>
              </w:rPr>
              <w:t xml:space="preserve">Issuance </w:t>
            </w:r>
            <w:r w:rsidR="00C46291" w:rsidRPr="000D593D">
              <w:rPr>
                <w:sz w:val="20"/>
              </w:rPr>
              <w:t>T</w:t>
            </w:r>
            <w:r w:rsidRPr="000D593D">
              <w:rPr>
                <w:sz w:val="20"/>
              </w:rPr>
              <w:t>iming</w:t>
            </w:r>
            <w:r w:rsidR="00C46291" w:rsidRPr="000D593D">
              <w:rPr>
                <w:sz w:val="20"/>
              </w:rPr>
              <w:t xml:space="preserve"> &amp; Tenor(s)</w:t>
            </w:r>
          </w:p>
        </w:tc>
        <w:tc>
          <w:tcPr>
            <w:tcW w:w="7433" w:type="dxa"/>
          </w:tcPr>
          <w:p w:rsidR="00804536" w:rsidRPr="000D593D" w:rsidRDefault="00F47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Issuance timing to be confirmed.  Immediate marketing after Certification.</w:t>
            </w:r>
          </w:p>
          <w:p w:rsidR="008F27D7" w:rsidRPr="000D593D" w:rsidRDefault="00F47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Tenor to be confirmed.</w:t>
            </w:r>
          </w:p>
        </w:tc>
      </w:tr>
      <w:tr w:rsidR="00804536" w:rsidRPr="000D593D" w:rsidTr="00804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04536" w:rsidRPr="000D593D" w:rsidRDefault="00804536" w:rsidP="00C46291">
            <w:pPr>
              <w:rPr>
                <w:sz w:val="20"/>
              </w:rPr>
            </w:pPr>
            <w:r w:rsidRPr="000D593D">
              <w:rPr>
                <w:sz w:val="20"/>
              </w:rPr>
              <w:t xml:space="preserve">Type of </w:t>
            </w:r>
            <w:r w:rsidR="00C46291" w:rsidRPr="000D593D">
              <w:rPr>
                <w:sz w:val="20"/>
              </w:rPr>
              <w:t>B</w:t>
            </w:r>
            <w:r w:rsidRPr="000D593D">
              <w:rPr>
                <w:sz w:val="20"/>
              </w:rPr>
              <w:t>ond</w:t>
            </w:r>
          </w:p>
        </w:tc>
        <w:tc>
          <w:tcPr>
            <w:tcW w:w="7433" w:type="dxa"/>
          </w:tcPr>
          <w:p w:rsidR="00804536" w:rsidRPr="000D593D" w:rsidRDefault="00F47853" w:rsidP="00F47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German </w:t>
            </w:r>
            <w:proofErr w:type="spellStart"/>
            <w:r>
              <w:rPr>
                <w:sz w:val="20"/>
              </w:rPr>
              <w:t>Schuldschein</w:t>
            </w:r>
            <w:proofErr w:type="spellEnd"/>
            <w:r>
              <w:rPr>
                <w:sz w:val="20"/>
              </w:rPr>
              <w:t xml:space="preserve"> (see below for comparison to corporate bond)</w:t>
            </w:r>
          </w:p>
        </w:tc>
      </w:tr>
      <w:tr w:rsidR="00804536" w:rsidRPr="000D593D" w:rsidTr="00804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04536" w:rsidRPr="000D593D" w:rsidRDefault="00C46291" w:rsidP="00C46291">
            <w:pPr>
              <w:rPr>
                <w:sz w:val="20"/>
              </w:rPr>
            </w:pPr>
            <w:r w:rsidRPr="000D593D">
              <w:rPr>
                <w:sz w:val="20"/>
              </w:rPr>
              <w:t>Use of Proceeds</w:t>
            </w:r>
          </w:p>
        </w:tc>
        <w:tc>
          <w:tcPr>
            <w:tcW w:w="7433" w:type="dxa"/>
          </w:tcPr>
          <w:p w:rsidR="00F47853" w:rsidRDefault="0008176D" w:rsidP="00F47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8176D">
              <w:rPr>
                <w:sz w:val="20"/>
              </w:rPr>
              <w:t xml:space="preserve">The proposed </w:t>
            </w:r>
            <w:proofErr w:type="spellStart"/>
            <w:r w:rsidRPr="0008176D">
              <w:rPr>
                <w:sz w:val="20"/>
              </w:rPr>
              <w:t>Schuldschein</w:t>
            </w:r>
            <w:proofErr w:type="spellEnd"/>
            <w:r w:rsidRPr="0008176D">
              <w:rPr>
                <w:sz w:val="20"/>
              </w:rPr>
              <w:t xml:space="preserve"> is to finance the merger of </w:t>
            </w:r>
            <w:proofErr w:type="spellStart"/>
            <w:r w:rsidRPr="0008176D">
              <w:rPr>
                <w:sz w:val="20"/>
              </w:rPr>
              <w:t>Acciona</w:t>
            </w:r>
            <w:proofErr w:type="spellEnd"/>
            <w:r w:rsidRPr="0008176D">
              <w:rPr>
                <w:sz w:val="20"/>
              </w:rPr>
              <w:t xml:space="preserve"> Wind Power</w:t>
            </w:r>
            <w:r w:rsidR="00F47853">
              <w:rPr>
                <w:sz w:val="20"/>
              </w:rPr>
              <w:t xml:space="preserve"> </w:t>
            </w:r>
            <w:r w:rsidRPr="0008176D">
              <w:rPr>
                <w:sz w:val="20"/>
              </w:rPr>
              <w:t xml:space="preserve">(AWP) and </w:t>
            </w:r>
            <w:proofErr w:type="spellStart"/>
            <w:r w:rsidRPr="0008176D">
              <w:rPr>
                <w:sz w:val="20"/>
              </w:rPr>
              <w:t>Nordex</w:t>
            </w:r>
            <w:proofErr w:type="spellEnd"/>
            <w:r w:rsidRPr="0008176D">
              <w:rPr>
                <w:sz w:val="20"/>
              </w:rPr>
              <w:t xml:space="preserve"> SE, both exclusive manufacturers of wind turbine hardware.</w:t>
            </w:r>
            <w:r w:rsidR="00F47853">
              <w:rPr>
                <w:sz w:val="20"/>
              </w:rPr>
              <w:t xml:space="preserve"> </w:t>
            </w:r>
            <w:r w:rsidR="00F47853" w:rsidRPr="00F47853">
              <w:rPr>
                <w:sz w:val="20"/>
              </w:rPr>
              <w:t xml:space="preserve">The Issuer, </w:t>
            </w:r>
            <w:proofErr w:type="spellStart"/>
            <w:r w:rsidR="00F47853" w:rsidRPr="00F47853">
              <w:rPr>
                <w:sz w:val="20"/>
              </w:rPr>
              <w:t>Nordex</w:t>
            </w:r>
            <w:proofErr w:type="spellEnd"/>
            <w:r w:rsidR="00F47853" w:rsidRPr="00F47853">
              <w:rPr>
                <w:sz w:val="20"/>
              </w:rPr>
              <w:t xml:space="preserve"> is a corporation with the sole function of manufacturing,</w:t>
            </w:r>
            <w:r w:rsidR="00F47853">
              <w:rPr>
                <w:sz w:val="20"/>
              </w:rPr>
              <w:t xml:space="preserve"> </w:t>
            </w:r>
            <w:r w:rsidR="00F47853" w:rsidRPr="00F47853">
              <w:rPr>
                <w:sz w:val="20"/>
              </w:rPr>
              <w:t>installing and servicing of wind turbine hardware. As verified by DNV GL, the</w:t>
            </w:r>
            <w:r w:rsidR="00F47853">
              <w:rPr>
                <w:sz w:val="20"/>
              </w:rPr>
              <w:t xml:space="preserve"> </w:t>
            </w:r>
            <w:r w:rsidR="00F47853" w:rsidRPr="00F47853">
              <w:rPr>
                <w:sz w:val="20"/>
              </w:rPr>
              <w:t xml:space="preserve">AWP merger decision is designed to consolidate </w:t>
            </w:r>
            <w:proofErr w:type="spellStart"/>
            <w:r w:rsidR="00F47853" w:rsidRPr="00F47853">
              <w:rPr>
                <w:sz w:val="20"/>
              </w:rPr>
              <w:t>Nordex’s</w:t>
            </w:r>
            <w:proofErr w:type="spellEnd"/>
            <w:r w:rsidR="00F47853" w:rsidRPr="00F47853">
              <w:rPr>
                <w:sz w:val="20"/>
              </w:rPr>
              <w:t xml:space="preserve"> position as a</w:t>
            </w:r>
            <w:r w:rsidR="00F47853">
              <w:rPr>
                <w:sz w:val="20"/>
              </w:rPr>
              <w:t xml:space="preserve"> </w:t>
            </w:r>
            <w:r w:rsidR="00F47853" w:rsidRPr="00F47853">
              <w:rPr>
                <w:sz w:val="20"/>
              </w:rPr>
              <w:t>manufacturer of wind turbine hardware globally.</w:t>
            </w:r>
          </w:p>
          <w:p w:rsidR="00B16C59" w:rsidRPr="000D593D" w:rsidRDefault="00F47853" w:rsidP="00F47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F</w:t>
            </w:r>
            <w:r w:rsidRPr="00F47853">
              <w:rPr>
                <w:sz w:val="20"/>
              </w:rPr>
              <w:t>inancing new assets (production, order backlog, intellectual property of AWP)</w:t>
            </w:r>
            <w:r>
              <w:rPr>
                <w:sz w:val="20"/>
              </w:rPr>
              <w:t xml:space="preserve"> and p</w:t>
            </w:r>
            <w:r w:rsidRPr="00F47853">
              <w:rPr>
                <w:sz w:val="20"/>
              </w:rPr>
              <w:t>artly usage for refinancing an existing bond used for expansion of the own rotor blade production</w:t>
            </w:r>
            <w:r>
              <w:rPr>
                <w:sz w:val="20"/>
              </w:rPr>
              <w:t>.</w:t>
            </w:r>
          </w:p>
        </w:tc>
      </w:tr>
      <w:tr w:rsidR="00804536" w:rsidRPr="000D593D" w:rsidTr="00804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804536" w:rsidRPr="000D593D" w:rsidRDefault="00C46291" w:rsidP="00C46291">
            <w:pPr>
              <w:rPr>
                <w:sz w:val="20"/>
              </w:rPr>
            </w:pPr>
            <w:r w:rsidRPr="000D593D">
              <w:rPr>
                <w:sz w:val="20"/>
              </w:rPr>
              <w:t xml:space="preserve">Standards &amp; Eligibility Criteria </w:t>
            </w:r>
          </w:p>
        </w:tc>
        <w:tc>
          <w:tcPr>
            <w:tcW w:w="7433" w:type="dxa"/>
          </w:tcPr>
          <w:p w:rsidR="00804536" w:rsidRPr="000D593D" w:rsidRDefault="008F2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D593D">
              <w:rPr>
                <w:sz w:val="20"/>
              </w:rPr>
              <w:t>Certified under Climate Bonds Standard v2.0</w:t>
            </w:r>
          </w:p>
          <w:p w:rsidR="008F27D7" w:rsidRPr="000D593D" w:rsidRDefault="00F47853" w:rsidP="008F2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Sector-Specific Criteria for Wind</w:t>
            </w:r>
          </w:p>
        </w:tc>
      </w:tr>
      <w:tr w:rsidR="00C46291" w:rsidRPr="000D593D" w:rsidTr="00804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291" w:rsidRPr="000D593D" w:rsidRDefault="00C46291">
            <w:pPr>
              <w:rPr>
                <w:sz w:val="20"/>
              </w:rPr>
            </w:pPr>
            <w:r w:rsidRPr="000D593D">
              <w:rPr>
                <w:sz w:val="20"/>
              </w:rPr>
              <w:t>Approved Verifier</w:t>
            </w:r>
          </w:p>
        </w:tc>
        <w:tc>
          <w:tcPr>
            <w:tcW w:w="7433" w:type="dxa"/>
          </w:tcPr>
          <w:p w:rsidR="00C46291" w:rsidRPr="000D593D" w:rsidRDefault="00F478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DNV GL</w:t>
            </w:r>
          </w:p>
        </w:tc>
      </w:tr>
      <w:tr w:rsidR="00C46291" w:rsidRPr="000D593D" w:rsidTr="00804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291" w:rsidRPr="000D593D" w:rsidRDefault="00C46291">
            <w:pPr>
              <w:rPr>
                <w:sz w:val="20"/>
              </w:rPr>
            </w:pPr>
            <w:r w:rsidRPr="000D593D">
              <w:rPr>
                <w:sz w:val="20"/>
              </w:rPr>
              <w:t>Reporting &amp; Disclosure</w:t>
            </w:r>
          </w:p>
        </w:tc>
        <w:tc>
          <w:tcPr>
            <w:tcW w:w="7433" w:type="dxa"/>
          </w:tcPr>
          <w:p w:rsidR="00F47853" w:rsidRDefault="00F47853" w:rsidP="00F47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F47853">
              <w:rPr>
                <w:sz w:val="20"/>
              </w:rPr>
              <w:t>As a stock listed company in the German Prime Standard Segment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Nordex</w:t>
            </w:r>
            <w:proofErr w:type="spellEnd"/>
            <w:r>
              <w:rPr>
                <w:sz w:val="20"/>
              </w:rPr>
              <w:t xml:space="preserve"> is</w:t>
            </w:r>
            <w:r w:rsidRPr="00F47853">
              <w:rPr>
                <w:sz w:val="20"/>
              </w:rPr>
              <w:t xml:space="preserve"> obliged to report on a quarterly basis</w:t>
            </w:r>
            <w:r>
              <w:rPr>
                <w:sz w:val="20"/>
              </w:rPr>
              <w:t>. F</w:t>
            </w:r>
            <w:r w:rsidRPr="00F47853">
              <w:rPr>
                <w:sz w:val="20"/>
              </w:rPr>
              <w:t xml:space="preserve">inancial calendar can be found on </w:t>
            </w:r>
            <w:r>
              <w:rPr>
                <w:sz w:val="20"/>
              </w:rPr>
              <w:t xml:space="preserve">the </w:t>
            </w:r>
            <w:proofErr w:type="spellStart"/>
            <w:r>
              <w:rPr>
                <w:sz w:val="20"/>
              </w:rPr>
              <w:t>Nordex</w:t>
            </w:r>
            <w:proofErr w:type="spellEnd"/>
            <w:r w:rsidRPr="00F47853">
              <w:rPr>
                <w:sz w:val="20"/>
              </w:rPr>
              <w:t xml:space="preserve"> website: </w:t>
            </w:r>
            <w:hyperlink r:id="rId8" w:history="1">
              <w:r w:rsidRPr="00BD043B">
                <w:rPr>
                  <w:rStyle w:val="Hyperlink"/>
                  <w:sz w:val="20"/>
                </w:rPr>
                <w:t>http://www.nordex-online.com/en/investor-relations/financial-schedule.html</w:t>
              </w:r>
            </w:hyperlink>
          </w:p>
          <w:p w:rsidR="00B16C59" w:rsidRPr="000D593D" w:rsidRDefault="00F47853" w:rsidP="00F478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Quarterly Reports will be made public.  </w:t>
            </w:r>
            <w:r w:rsidRPr="00F47853">
              <w:rPr>
                <w:sz w:val="20"/>
              </w:rPr>
              <w:t>Annual Report audited by external auditors</w:t>
            </w:r>
            <w:r>
              <w:rPr>
                <w:sz w:val="20"/>
              </w:rPr>
              <w:t>.</w:t>
            </w:r>
          </w:p>
        </w:tc>
      </w:tr>
      <w:tr w:rsidR="00C46291" w:rsidRPr="000D593D" w:rsidTr="008045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6291" w:rsidRPr="000D593D" w:rsidRDefault="00A84786">
            <w:pPr>
              <w:rPr>
                <w:sz w:val="20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 wp14:anchorId="46AB8408" wp14:editId="3CF50AC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2724289</wp:posOffset>
                  </wp:positionV>
                  <wp:extent cx="5788082" cy="1466386"/>
                  <wp:effectExtent l="0" t="0" r="3175" b="63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082" cy="1466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6291" w:rsidRPr="000D593D">
              <w:rPr>
                <w:sz w:val="20"/>
              </w:rPr>
              <w:t>Key Features</w:t>
            </w:r>
          </w:p>
        </w:tc>
        <w:tc>
          <w:tcPr>
            <w:tcW w:w="7433" w:type="dxa"/>
          </w:tcPr>
          <w:p w:rsidR="00C46291" w:rsidRDefault="00F47853" w:rsidP="000D59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This is the first </w:t>
            </w:r>
            <w:r w:rsidR="00955EB5">
              <w:rPr>
                <w:sz w:val="20"/>
              </w:rPr>
              <w:t>G</w:t>
            </w:r>
            <w:r>
              <w:rPr>
                <w:sz w:val="20"/>
              </w:rPr>
              <w:t xml:space="preserve">reen </w:t>
            </w:r>
            <w:proofErr w:type="spellStart"/>
            <w:r w:rsidR="00955EB5">
              <w:rPr>
                <w:sz w:val="20"/>
              </w:rPr>
              <w:t>S</w:t>
            </w:r>
            <w:r>
              <w:rPr>
                <w:sz w:val="20"/>
              </w:rPr>
              <w:t>chuld</w:t>
            </w:r>
            <w:r w:rsidR="00955EB5">
              <w:rPr>
                <w:sz w:val="20"/>
              </w:rPr>
              <w:t>schein</w:t>
            </w:r>
            <w:proofErr w:type="spellEnd"/>
            <w:r w:rsidR="00955EB5">
              <w:rPr>
                <w:sz w:val="20"/>
              </w:rPr>
              <w:t xml:space="preserve"> to be issued in the German market.  Below is background on the structure and features of a German </w:t>
            </w:r>
            <w:proofErr w:type="spellStart"/>
            <w:r w:rsidR="00955EB5">
              <w:rPr>
                <w:sz w:val="20"/>
              </w:rPr>
              <w:t>Schuldschein</w:t>
            </w:r>
            <w:proofErr w:type="spellEnd"/>
            <w:r w:rsidR="00955EB5">
              <w:rPr>
                <w:sz w:val="20"/>
              </w:rPr>
              <w:t xml:space="preserve">, which has been taken from a 2011 </w:t>
            </w:r>
            <w:proofErr w:type="spellStart"/>
            <w:r w:rsidR="00955EB5">
              <w:rPr>
                <w:sz w:val="20"/>
              </w:rPr>
              <w:t>UniCredit</w:t>
            </w:r>
            <w:proofErr w:type="spellEnd"/>
            <w:r w:rsidR="00955EB5">
              <w:rPr>
                <w:sz w:val="20"/>
              </w:rPr>
              <w:t xml:space="preserve"> research report.</w:t>
            </w:r>
          </w:p>
          <w:p w:rsidR="00955EB5" w:rsidRDefault="00955EB5" w:rsidP="00955EB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55EB5">
              <w:rPr>
                <w:sz w:val="20"/>
              </w:rPr>
              <w:t xml:space="preserve">For issuers, the advantages of </w:t>
            </w:r>
            <w:proofErr w:type="spellStart"/>
            <w:r w:rsidRPr="00955EB5">
              <w:rPr>
                <w:sz w:val="20"/>
              </w:rPr>
              <w:t>Schuldschein</w:t>
            </w:r>
            <w:proofErr w:type="spellEnd"/>
            <w:r w:rsidRPr="00955EB5">
              <w:rPr>
                <w:sz w:val="20"/>
              </w:rPr>
              <w:t xml:space="preserve"> loans include: quickness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and efficiency, low issuance costs, discretion and confidentiality, flexibility,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procurement of long-term unsecured funding and the diversification of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the lender base by accessing the large German buy-and-hold investor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community.</w:t>
            </w:r>
          </w:p>
          <w:p w:rsidR="00955EB5" w:rsidRDefault="00955EB5" w:rsidP="00955EB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55EB5">
              <w:rPr>
                <w:sz w:val="20"/>
              </w:rPr>
              <w:t xml:space="preserve">The investor base for </w:t>
            </w:r>
            <w:proofErr w:type="spellStart"/>
            <w:r w:rsidRPr="00955EB5">
              <w:rPr>
                <w:sz w:val="20"/>
              </w:rPr>
              <w:t>Schuldschein</w:t>
            </w:r>
            <w:proofErr w:type="spellEnd"/>
            <w:r w:rsidRPr="00955EB5">
              <w:rPr>
                <w:sz w:val="20"/>
              </w:rPr>
              <w:t xml:space="preserve"> loans consists of banks,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 xml:space="preserve">insurance </w:t>
            </w:r>
            <w:r w:rsidRPr="00955EB5">
              <w:rPr>
                <w:sz w:val="20"/>
              </w:rPr>
              <w:t>c</w:t>
            </w:r>
            <w:r w:rsidRPr="00955EB5">
              <w:rPr>
                <w:sz w:val="20"/>
              </w:rPr>
              <w:t>ompanies and investment funds, principally from Germany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and Austria, but also from a number of other European and Asian countries.</w:t>
            </w:r>
          </w:p>
          <w:p w:rsidR="00955EB5" w:rsidRDefault="00955EB5" w:rsidP="00955EB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55EB5">
              <w:rPr>
                <w:sz w:val="20"/>
              </w:rPr>
              <w:t xml:space="preserve">For investors, the way in which </w:t>
            </w:r>
            <w:proofErr w:type="spellStart"/>
            <w:r w:rsidRPr="00955EB5">
              <w:rPr>
                <w:sz w:val="20"/>
              </w:rPr>
              <w:t>Schuldschein</w:t>
            </w:r>
            <w:proofErr w:type="spellEnd"/>
            <w:r w:rsidRPr="00955EB5">
              <w:rPr>
                <w:sz w:val="20"/>
              </w:rPr>
              <w:t xml:space="preserve"> loans are treated under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IFRS is one of their attractions. These instruments are treated as loans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and therefore do not have to be marked to market, which makes them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 xml:space="preserve">particularly interesting for buy-and-hold investors. </w:t>
            </w:r>
          </w:p>
          <w:p w:rsidR="00955EB5" w:rsidRDefault="00955EB5" w:rsidP="00955EB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55EB5">
              <w:rPr>
                <w:sz w:val="20"/>
              </w:rPr>
              <w:t>In addition, investors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can enhance their credit portfolio diversification</w:t>
            </w:r>
            <w:bookmarkStart w:id="0" w:name="_GoBack"/>
            <w:bookmarkEnd w:id="0"/>
            <w:r w:rsidRPr="00955EB5">
              <w:rPr>
                <w:sz w:val="20"/>
              </w:rPr>
              <w:t xml:space="preserve"> by investing in new</w:t>
            </w:r>
            <w:r w:rsidRPr="00955EB5"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names from the upper levels of the German SME segment or non-</w:t>
            </w:r>
            <w:r>
              <w:rPr>
                <w:sz w:val="20"/>
              </w:rPr>
              <w:t xml:space="preserve"> </w:t>
            </w:r>
            <w:r w:rsidRPr="00955EB5">
              <w:rPr>
                <w:sz w:val="20"/>
              </w:rPr>
              <w:t>German issuers.</w:t>
            </w: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955EB5" w:rsidRPr="00955EB5" w:rsidRDefault="00955EB5" w:rsidP="0095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804536" w:rsidRDefault="00804536" w:rsidP="00955EB5"/>
    <w:sectPr w:rsidR="0080453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B9" w:rsidRDefault="002216B9" w:rsidP="000D593D">
      <w:pPr>
        <w:spacing w:after="0" w:line="240" w:lineRule="auto"/>
      </w:pPr>
      <w:r>
        <w:separator/>
      </w:r>
    </w:p>
  </w:endnote>
  <w:endnote w:type="continuationSeparator" w:id="0">
    <w:p w:rsidR="002216B9" w:rsidRDefault="002216B9" w:rsidP="000D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3D" w:rsidRDefault="000D593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22C2C391" wp14:editId="24D5448E">
          <wp:simplePos x="0" y="0"/>
          <wp:positionH relativeFrom="column">
            <wp:posOffset>4238346</wp:posOffset>
          </wp:positionH>
          <wp:positionV relativeFrom="paragraph">
            <wp:posOffset>-98827</wp:posOffset>
          </wp:positionV>
          <wp:extent cx="2249487" cy="407987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2862" r="2162"/>
                  <a:stretch>
                    <a:fillRect/>
                  </a:stretch>
                </pic:blipFill>
                <pic:spPr bwMode="auto">
                  <a:xfrm>
                    <a:off x="0" y="0"/>
                    <a:ext cx="2249487" cy="407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B9" w:rsidRDefault="002216B9" w:rsidP="000D593D">
      <w:pPr>
        <w:spacing w:after="0" w:line="240" w:lineRule="auto"/>
      </w:pPr>
      <w:r>
        <w:separator/>
      </w:r>
    </w:p>
  </w:footnote>
  <w:footnote w:type="continuationSeparator" w:id="0">
    <w:p w:rsidR="002216B9" w:rsidRDefault="002216B9" w:rsidP="000D5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3D" w:rsidRDefault="000D593D">
    <w:pPr>
      <w:pStyle w:val="Head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2A8EF0DF" wp14:editId="48BB572E">
          <wp:simplePos x="0" y="0"/>
          <wp:positionH relativeFrom="column">
            <wp:posOffset>4850130</wp:posOffset>
          </wp:positionH>
          <wp:positionV relativeFrom="paragraph">
            <wp:posOffset>-187651</wp:posOffset>
          </wp:positionV>
          <wp:extent cx="1398983" cy="558097"/>
          <wp:effectExtent l="0" t="0" r="0" b="0"/>
          <wp:wrapNone/>
          <wp:docPr id="1" name="Picture 40" descr="CB-Certified-6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 descr="CB-Certified-6A.pdf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92" t="38447" r="21362" b="46055"/>
                  <a:stretch/>
                </pic:blipFill>
                <pic:spPr bwMode="auto">
                  <a:xfrm>
                    <a:off x="0" y="0"/>
                    <a:ext cx="1398983" cy="5580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593D" w:rsidRDefault="000D593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60C5414" wp14:editId="32027156">
          <wp:simplePos x="0" y="0"/>
          <wp:positionH relativeFrom="column">
            <wp:posOffset>-762000</wp:posOffset>
          </wp:positionH>
          <wp:positionV relativeFrom="paragraph">
            <wp:posOffset>-289560</wp:posOffset>
          </wp:positionV>
          <wp:extent cx="2001838" cy="360363"/>
          <wp:effectExtent l="0" t="0" r="0" b="1905"/>
          <wp:wrapNone/>
          <wp:docPr id="4" name="Picture 8" descr="CB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8" descr="CBI_logo.png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838" cy="3603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76A"/>
    <w:multiLevelType w:val="hybridMultilevel"/>
    <w:tmpl w:val="7AD476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E8"/>
    <w:rsid w:val="0008176D"/>
    <w:rsid w:val="000D593D"/>
    <w:rsid w:val="002216B9"/>
    <w:rsid w:val="003131F1"/>
    <w:rsid w:val="00332CE8"/>
    <w:rsid w:val="003347BA"/>
    <w:rsid w:val="007329C8"/>
    <w:rsid w:val="00804536"/>
    <w:rsid w:val="008F27D7"/>
    <w:rsid w:val="00955EB5"/>
    <w:rsid w:val="009B1A1B"/>
    <w:rsid w:val="00A068D8"/>
    <w:rsid w:val="00A84786"/>
    <w:rsid w:val="00AE5502"/>
    <w:rsid w:val="00B16C59"/>
    <w:rsid w:val="00C46291"/>
    <w:rsid w:val="00F1138B"/>
    <w:rsid w:val="00F4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045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3D"/>
  </w:style>
  <w:style w:type="paragraph" w:styleId="Footer">
    <w:name w:val="footer"/>
    <w:basedOn w:val="Normal"/>
    <w:link w:val="FooterChar"/>
    <w:uiPriority w:val="99"/>
    <w:unhideWhenUsed/>
    <w:rsid w:val="000D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3D"/>
  </w:style>
  <w:style w:type="character" w:styleId="Hyperlink">
    <w:name w:val="Hyperlink"/>
    <w:basedOn w:val="DefaultParagraphFont"/>
    <w:uiPriority w:val="99"/>
    <w:unhideWhenUsed/>
    <w:rsid w:val="00F478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0453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6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2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93D"/>
  </w:style>
  <w:style w:type="paragraph" w:styleId="Footer">
    <w:name w:val="footer"/>
    <w:basedOn w:val="Normal"/>
    <w:link w:val="FooterChar"/>
    <w:uiPriority w:val="99"/>
    <w:unhideWhenUsed/>
    <w:rsid w:val="000D5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93D"/>
  </w:style>
  <w:style w:type="character" w:styleId="Hyperlink">
    <w:name w:val="Hyperlink"/>
    <w:basedOn w:val="DefaultParagraphFont"/>
    <w:uiPriority w:val="99"/>
    <w:unhideWhenUsed/>
    <w:rsid w:val="00F478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ex-online.com/en/investor-relations/financial-schedul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Essential Change Advisory Services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Fowler</dc:creator>
  <cp:lastModifiedBy>Rob Fowler</cp:lastModifiedBy>
  <cp:revision>4</cp:revision>
  <dcterms:created xsi:type="dcterms:W3CDTF">2016-02-14T01:01:00Z</dcterms:created>
  <dcterms:modified xsi:type="dcterms:W3CDTF">2016-02-14T10:15:00Z</dcterms:modified>
</cp:coreProperties>
</file>