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D4406" w14:textId="38489FF5" w:rsidR="00053DB5" w:rsidRPr="00AC6EA6" w:rsidRDefault="00053DB5" w:rsidP="00AC6EA6">
      <w:pPr>
        <w:pStyle w:val="Heading1"/>
      </w:pPr>
      <w:r w:rsidRPr="00AC6EA6">
        <w:t xml:space="preserve">FAQs about CBI’s Shipping Criteria: </w:t>
      </w:r>
    </w:p>
    <w:p w14:paraId="2CD922FA" w14:textId="211F9768" w:rsidR="00FF6767" w:rsidRDefault="00FF6767" w:rsidP="00AC6EA6">
      <w:pPr>
        <w:rPr>
          <w:rFonts w:cstheme="minorHAnsi"/>
          <w:sz w:val="22"/>
          <w:szCs w:val="22"/>
        </w:rPr>
      </w:pPr>
    </w:p>
    <w:p w14:paraId="7FABFC3D" w14:textId="20F9A982" w:rsidR="00562297" w:rsidRDefault="00FF6767">
      <w:pPr>
        <w:pStyle w:val="TOC2"/>
        <w:tabs>
          <w:tab w:val="right" w:pos="9010"/>
        </w:tabs>
        <w:rPr>
          <w:rFonts w:eastAsiaTheme="minorEastAsia" w:cstheme="minorBidi"/>
          <w:b w:val="0"/>
          <w:bCs w:val="0"/>
          <w:smallCaps w:val="0"/>
          <w:noProof/>
          <w:sz w:val="24"/>
          <w:szCs w:val="24"/>
          <w:lang w:eastAsia="en-GB"/>
        </w:rPr>
      </w:pPr>
      <w:r>
        <w:fldChar w:fldCharType="begin"/>
      </w:r>
      <w:r>
        <w:instrText xml:space="preserve"> TOC \o "2-3" \h \z \u </w:instrText>
      </w:r>
      <w:r>
        <w:fldChar w:fldCharType="separate"/>
      </w:r>
      <w:hyperlink w:anchor="_Toc47190612" w:history="1">
        <w:r w:rsidR="00562297" w:rsidRPr="00A61E23">
          <w:rPr>
            <w:rStyle w:val="Hyperlink"/>
            <w:noProof/>
          </w:rPr>
          <w:t>Questions on Scope:</w:t>
        </w:r>
        <w:r w:rsidR="00562297">
          <w:rPr>
            <w:noProof/>
            <w:webHidden/>
          </w:rPr>
          <w:tab/>
        </w:r>
        <w:r w:rsidR="00562297">
          <w:rPr>
            <w:noProof/>
            <w:webHidden/>
          </w:rPr>
          <w:fldChar w:fldCharType="begin"/>
        </w:r>
        <w:r w:rsidR="00562297">
          <w:rPr>
            <w:noProof/>
            <w:webHidden/>
          </w:rPr>
          <w:instrText xml:space="preserve"> PAGEREF _Toc47190612 \h </w:instrText>
        </w:r>
        <w:r w:rsidR="00562297">
          <w:rPr>
            <w:noProof/>
            <w:webHidden/>
          </w:rPr>
        </w:r>
        <w:r w:rsidR="00562297">
          <w:rPr>
            <w:noProof/>
            <w:webHidden/>
          </w:rPr>
          <w:fldChar w:fldCharType="separate"/>
        </w:r>
        <w:r w:rsidR="000951BD">
          <w:rPr>
            <w:noProof/>
            <w:webHidden/>
          </w:rPr>
          <w:t>2</w:t>
        </w:r>
        <w:r w:rsidR="00562297">
          <w:rPr>
            <w:noProof/>
            <w:webHidden/>
          </w:rPr>
          <w:fldChar w:fldCharType="end"/>
        </w:r>
      </w:hyperlink>
    </w:p>
    <w:p w14:paraId="03F8AC2C" w14:textId="150B006E" w:rsidR="00562297" w:rsidRDefault="00217AC9">
      <w:pPr>
        <w:pStyle w:val="TOC3"/>
        <w:tabs>
          <w:tab w:val="right" w:pos="9010"/>
        </w:tabs>
        <w:rPr>
          <w:rFonts w:eastAsiaTheme="minorEastAsia" w:cstheme="minorBidi"/>
          <w:smallCaps w:val="0"/>
          <w:noProof/>
          <w:sz w:val="24"/>
          <w:szCs w:val="24"/>
          <w:lang w:eastAsia="en-GB"/>
        </w:rPr>
      </w:pPr>
      <w:hyperlink w:anchor="_Toc47190613" w:history="1">
        <w:r w:rsidR="00562297" w:rsidRPr="00A61E23">
          <w:rPr>
            <w:rStyle w:val="Hyperlink"/>
            <w:noProof/>
          </w:rPr>
          <w:t>Why are LNG and Crude Carriers excluded from these criteria?</w:t>
        </w:r>
        <w:r w:rsidR="00562297">
          <w:rPr>
            <w:noProof/>
            <w:webHidden/>
          </w:rPr>
          <w:tab/>
        </w:r>
        <w:r w:rsidR="00562297">
          <w:rPr>
            <w:noProof/>
            <w:webHidden/>
          </w:rPr>
          <w:fldChar w:fldCharType="begin"/>
        </w:r>
        <w:r w:rsidR="00562297">
          <w:rPr>
            <w:noProof/>
            <w:webHidden/>
          </w:rPr>
          <w:instrText xml:space="preserve"> PAGEREF _Toc47190613 \h </w:instrText>
        </w:r>
        <w:r w:rsidR="00562297">
          <w:rPr>
            <w:noProof/>
            <w:webHidden/>
          </w:rPr>
        </w:r>
        <w:r w:rsidR="00562297">
          <w:rPr>
            <w:noProof/>
            <w:webHidden/>
          </w:rPr>
          <w:fldChar w:fldCharType="separate"/>
        </w:r>
        <w:r w:rsidR="000951BD">
          <w:rPr>
            <w:noProof/>
            <w:webHidden/>
          </w:rPr>
          <w:t>2</w:t>
        </w:r>
        <w:r w:rsidR="00562297">
          <w:rPr>
            <w:noProof/>
            <w:webHidden/>
          </w:rPr>
          <w:fldChar w:fldCharType="end"/>
        </w:r>
      </w:hyperlink>
    </w:p>
    <w:p w14:paraId="75F1B8C5" w14:textId="29628ADF" w:rsidR="00562297" w:rsidRDefault="00217AC9">
      <w:pPr>
        <w:pStyle w:val="TOC3"/>
        <w:tabs>
          <w:tab w:val="right" w:pos="9010"/>
        </w:tabs>
        <w:rPr>
          <w:rFonts w:eastAsiaTheme="minorEastAsia" w:cstheme="minorBidi"/>
          <w:smallCaps w:val="0"/>
          <w:noProof/>
          <w:sz w:val="24"/>
          <w:szCs w:val="24"/>
          <w:lang w:eastAsia="en-GB"/>
        </w:rPr>
      </w:pPr>
      <w:hyperlink w:anchor="_Toc47190614" w:history="1">
        <w:r w:rsidR="00562297" w:rsidRPr="00A61E23">
          <w:rPr>
            <w:rStyle w:val="Hyperlink"/>
            <w:noProof/>
          </w:rPr>
          <w:t>But dry bulk carriers can be used for coal, so why are these allowed?</w:t>
        </w:r>
        <w:r w:rsidR="00562297">
          <w:rPr>
            <w:noProof/>
            <w:webHidden/>
          </w:rPr>
          <w:tab/>
        </w:r>
        <w:r w:rsidR="00562297">
          <w:rPr>
            <w:noProof/>
            <w:webHidden/>
          </w:rPr>
          <w:fldChar w:fldCharType="begin"/>
        </w:r>
        <w:r w:rsidR="00562297">
          <w:rPr>
            <w:noProof/>
            <w:webHidden/>
          </w:rPr>
          <w:instrText xml:space="preserve"> PAGEREF _Toc47190614 \h </w:instrText>
        </w:r>
        <w:r w:rsidR="00562297">
          <w:rPr>
            <w:noProof/>
            <w:webHidden/>
          </w:rPr>
        </w:r>
        <w:r w:rsidR="00562297">
          <w:rPr>
            <w:noProof/>
            <w:webHidden/>
          </w:rPr>
          <w:fldChar w:fldCharType="separate"/>
        </w:r>
        <w:r w:rsidR="000951BD">
          <w:rPr>
            <w:noProof/>
            <w:webHidden/>
          </w:rPr>
          <w:t>2</w:t>
        </w:r>
        <w:r w:rsidR="00562297">
          <w:rPr>
            <w:noProof/>
            <w:webHidden/>
          </w:rPr>
          <w:fldChar w:fldCharType="end"/>
        </w:r>
      </w:hyperlink>
    </w:p>
    <w:p w14:paraId="554A64E3" w14:textId="1B761638" w:rsidR="00562297" w:rsidRDefault="00217AC9">
      <w:pPr>
        <w:pStyle w:val="TOC3"/>
        <w:tabs>
          <w:tab w:val="right" w:pos="9010"/>
        </w:tabs>
        <w:rPr>
          <w:rFonts w:eastAsiaTheme="minorEastAsia" w:cstheme="minorBidi"/>
          <w:smallCaps w:val="0"/>
          <w:noProof/>
          <w:sz w:val="24"/>
          <w:szCs w:val="24"/>
          <w:lang w:eastAsia="en-GB"/>
        </w:rPr>
      </w:pPr>
      <w:hyperlink w:anchor="_Toc47190615" w:history="1">
        <w:r w:rsidR="00562297" w:rsidRPr="00A61E23">
          <w:rPr>
            <w:rStyle w:val="Hyperlink"/>
            <w:noProof/>
          </w:rPr>
          <w:t>What about LPG Vessels?</w:t>
        </w:r>
        <w:r w:rsidR="00562297">
          <w:rPr>
            <w:noProof/>
            <w:webHidden/>
          </w:rPr>
          <w:tab/>
        </w:r>
        <w:r w:rsidR="00562297">
          <w:rPr>
            <w:noProof/>
            <w:webHidden/>
          </w:rPr>
          <w:fldChar w:fldCharType="begin"/>
        </w:r>
        <w:r w:rsidR="00562297">
          <w:rPr>
            <w:noProof/>
            <w:webHidden/>
          </w:rPr>
          <w:instrText xml:space="preserve"> PAGEREF _Toc47190615 \h </w:instrText>
        </w:r>
        <w:r w:rsidR="00562297">
          <w:rPr>
            <w:noProof/>
            <w:webHidden/>
          </w:rPr>
        </w:r>
        <w:r w:rsidR="00562297">
          <w:rPr>
            <w:noProof/>
            <w:webHidden/>
          </w:rPr>
          <w:fldChar w:fldCharType="separate"/>
        </w:r>
        <w:r w:rsidR="000951BD">
          <w:rPr>
            <w:noProof/>
            <w:webHidden/>
          </w:rPr>
          <w:t>2</w:t>
        </w:r>
        <w:r w:rsidR="00562297">
          <w:rPr>
            <w:noProof/>
            <w:webHidden/>
          </w:rPr>
          <w:fldChar w:fldCharType="end"/>
        </w:r>
      </w:hyperlink>
    </w:p>
    <w:p w14:paraId="220D341B" w14:textId="666D22A5" w:rsidR="00562297" w:rsidRDefault="00217AC9">
      <w:pPr>
        <w:pStyle w:val="TOC3"/>
        <w:tabs>
          <w:tab w:val="right" w:pos="9010"/>
        </w:tabs>
        <w:rPr>
          <w:rFonts w:eastAsiaTheme="minorEastAsia" w:cstheme="minorBidi"/>
          <w:smallCaps w:val="0"/>
          <w:noProof/>
          <w:sz w:val="24"/>
          <w:szCs w:val="24"/>
          <w:lang w:eastAsia="en-GB"/>
        </w:rPr>
      </w:pPr>
      <w:hyperlink w:anchor="_Toc47190616" w:history="1">
        <w:r w:rsidR="00562297" w:rsidRPr="00A61E23">
          <w:rPr>
            <w:rStyle w:val="Hyperlink"/>
            <w:noProof/>
          </w:rPr>
          <w:t>What about supporting infrastructure on ports? Are these assets eligible for Certification?</w:t>
        </w:r>
        <w:r w:rsidR="00562297">
          <w:rPr>
            <w:noProof/>
            <w:webHidden/>
          </w:rPr>
          <w:tab/>
        </w:r>
        <w:r w:rsidR="00562297">
          <w:rPr>
            <w:noProof/>
            <w:webHidden/>
          </w:rPr>
          <w:fldChar w:fldCharType="begin"/>
        </w:r>
        <w:r w:rsidR="00562297">
          <w:rPr>
            <w:noProof/>
            <w:webHidden/>
          </w:rPr>
          <w:instrText xml:space="preserve"> PAGEREF _Toc47190616 \h </w:instrText>
        </w:r>
        <w:r w:rsidR="00562297">
          <w:rPr>
            <w:noProof/>
            <w:webHidden/>
          </w:rPr>
        </w:r>
        <w:r w:rsidR="00562297">
          <w:rPr>
            <w:noProof/>
            <w:webHidden/>
          </w:rPr>
          <w:fldChar w:fldCharType="separate"/>
        </w:r>
        <w:r w:rsidR="000951BD">
          <w:rPr>
            <w:noProof/>
            <w:webHidden/>
          </w:rPr>
          <w:t>2</w:t>
        </w:r>
        <w:r w:rsidR="00562297">
          <w:rPr>
            <w:noProof/>
            <w:webHidden/>
          </w:rPr>
          <w:fldChar w:fldCharType="end"/>
        </w:r>
      </w:hyperlink>
    </w:p>
    <w:p w14:paraId="6F94A8E7" w14:textId="46EBA353" w:rsidR="00562297" w:rsidRDefault="00217AC9">
      <w:pPr>
        <w:pStyle w:val="TOC3"/>
        <w:tabs>
          <w:tab w:val="right" w:pos="9010"/>
        </w:tabs>
        <w:rPr>
          <w:rFonts w:eastAsiaTheme="minorEastAsia" w:cstheme="minorBidi"/>
          <w:smallCaps w:val="0"/>
          <w:noProof/>
          <w:sz w:val="24"/>
          <w:szCs w:val="24"/>
          <w:lang w:eastAsia="en-GB"/>
        </w:rPr>
      </w:pPr>
      <w:hyperlink w:anchor="_Toc47190617" w:history="1">
        <w:r w:rsidR="00562297" w:rsidRPr="00A61E23">
          <w:rPr>
            <w:rStyle w:val="Hyperlink"/>
            <w:noProof/>
          </w:rPr>
          <w:t>Are Cruise Ships allowed?</w:t>
        </w:r>
        <w:r w:rsidR="00562297" w:rsidRPr="00A61E23">
          <w:rPr>
            <w:rStyle w:val="Hyperlink"/>
            <w:rFonts w:ascii="MS Gothic" w:eastAsia="MS Gothic" w:hAnsi="MS Gothic" w:cs="MS Gothic"/>
            <w:noProof/>
          </w:rPr>
          <w:t> </w:t>
        </w:r>
        <w:r w:rsidR="00562297">
          <w:rPr>
            <w:noProof/>
            <w:webHidden/>
          </w:rPr>
          <w:tab/>
        </w:r>
        <w:r w:rsidR="00562297">
          <w:rPr>
            <w:noProof/>
            <w:webHidden/>
          </w:rPr>
          <w:fldChar w:fldCharType="begin"/>
        </w:r>
        <w:r w:rsidR="00562297">
          <w:rPr>
            <w:noProof/>
            <w:webHidden/>
          </w:rPr>
          <w:instrText xml:space="preserve"> PAGEREF _Toc47190617 \h </w:instrText>
        </w:r>
        <w:r w:rsidR="00562297">
          <w:rPr>
            <w:noProof/>
            <w:webHidden/>
          </w:rPr>
        </w:r>
        <w:r w:rsidR="00562297">
          <w:rPr>
            <w:noProof/>
            <w:webHidden/>
          </w:rPr>
          <w:fldChar w:fldCharType="separate"/>
        </w:r>
        <w:r w:rsidR="000951BD">
          <w:rPr>
            <w:noProof/>
            <w:webHidden/>
          </w:rPr>
          <w:t>2</w:t>
        </w:r>
        <w:r w:rsidR="00562297">
          <w:rPr>
            <w:noProof/>
            <w:webHidden/>
          </w:rPr>
          <w:fldChar w:fldCharType="end"/>
        </w:r>
      </w:hyperlink>
    </w:p>
    <w:p w14:paraId="35208F7E" w14:textId="76C5FD2E" w:rsidR="00562297" w:rsidRDefault="00217AC9">
      <w:pPr>
        <w:pStyle w:val="TOC3"/>
        <w:tabs>
          <w:tab w:val="right" w:pos="9010"/>
        </w:tabs>
        <w:rPr>
          <w:rFonts w:eastAsiaTheme="minorEastAsia" w:cstheme="minorBidi"/>
          <w:smallCaps w:val="0"/>
          <w:noProof/>
          <w:sz w:val="24"/>
          <w:szCs w:val="24"/>
          <w:lang w:eastAsia="en-GB"/>
        </w:rPr>
      </w:pPr>
      <w:hyperlink w:anchor="_Toc47190618" w:history="1">
        <w:r w:rsidR="00562297" w:rsidRPr="00A61E23">
          <w:rPr>
            <w:rStyle w:val="Hyperlink"/>
            <w:noProof/>
          </w:rPr>
          <w:t>Is the financing of retrofits to vessels eligible?</w:t>
        </w:r>
        <w:r w:rsidR="00562297">
          <w:rPr>
            <w:noProof/>
            <w:webHidden/>
          </w:rPr>
          <w:tab/>
        </w:r>
        <w:r w:rsidR="00562297">
          <w:rPr>
            <w:noProof/>
            <w:webHidden/>
          </w:rPr>
          <w:fldChar w:fldCharType="begin"/>
        </w:r>
        <w:r w:rsidR="00562297">
          <w:rPr>
            <w:noProof/>
            <w:webHidden/>
          </w:rPr>
          <w:instrText xml:space="preserve"> PAGEREF _Toc47190618 \h </w:instrText>
        </w:r>
        <w:r w:rsidR="00562297">
          <w:rPr>
            <w:noProof/>
            <w:webHidden/>
          </w:rPr>
        </w:r>
        <w:r w:rsidR="00562297">
          <w:rPr>
            <w:noProof/>
            <w:webHidden/>
          </w:rPr>
          <w:fldChar w:fldCharType="separate"/>
        </w:r>
        <w:r w:rsidR="000951BD">
          <w:rPr>
            <w:noProof/>
            <w:webHidden/>
          </w:rPr>
          <w:t>3</w:t>
        </w:r>
        <w:r w:rsidR="00562297">
          <w:rPr>
            <w:noProof/>
            <w:webHidden/>
          </w:rPr>
          <w:fldChar w:fldCharType="end"/>
        </w:r>
      </w:hyperlink>
    </w:p>
    <w:p w14:paraId="3D2DAC11" w14:textId="3D6B8EB0" w:rsidR="00562297" w:rsidRDefault="00562297">
      <w:pPr>
        <w:pStyle w:val="TOC2"/>
        <w:tabs>
          <w:tab w:val="right" w:pos="9010"/>
        </w:tabs>
        <w:rPr>
          <w:rFonts w:eastAsiaTheme="minorEastAsia" w:cstheme="minorBidi"/>
          <w:b w:val="0"/>
          <w:bCs w:val="0"/>
          <w:smallCaps w:val="0"/>
          <w:noProof/>
          <w:sz w:val="24"/>
          <w:szCs w:val="24"/>
          <w:lang w:eastAsia="en-GB"/>
        </w:rPr>
      </w:pPr>
      <w:r>
        <w:rPr>
          <w:rStyle w:val="Hyperlink"/>
          <w:noProof/>
        </w:rPr>
        <w:br/>
      </w:r>
      <w:hyperlink w:anchor="_Toc47190619" w:history="1">
        <w:r w:rsidRPr="00A61E23">
          <w:rPr>
            <w:rStyle w:val="Hyperlink"/>
            <w:rFonts w:eastAsia="MS Gothic"/>
            <w:noProof/>
          </w:rPr>
          <w:t>Questions on market and finance</w:t>
        </w:r>
        <w:r>
          <w:rPr>
            <w:noProof/>
            <w:webHidden/>
          </w:rPr>
          <w:tab/>
        </w:r>
        <w:r>
          <w:rPr>
            <w:noProof/>
            <w:webHidden/>
          </w:rPr>
          <w:fldChar w:fldCharType="begin"/>
        </w:r>
        <w:r>
          <w:rPr>
            <w:noProof/>
            <w:webHidden/>
          </w:rPr>
          <w:instrText xml:space="preserve"> PAGEREF _Toc47190619 \h </w:instrText>
        </w:r>
        <w:r>
          <w:rPr>
            <w:noProof/>
            <w:webHidden/>
          </w:rPr>
        </w:r>
        <w:r>
          <w:rPr>
            <w:noProof/>
            <w:webHidden/>
          </w:rPr>
          <w:fldChar w:fldCharType="separate"/>
        </w:r>
        <w:r w:rsidR="000951BD">
          <w:rPr>
            <w:noProof/>
            <w:webHidden/>
          </w:rPr>
          <w:t>3</w:t>
        </w:r>
        <w:r>
          <w:rPr>
            <w:noProof/>
            <w:webHidden/>
          </w:rPr>
          <w:fldChar w:fldCharType="end"/>
        </w:r>
      </w:hyperlink>
    </w:p>
    <w:p w14:paraId="1C2ED31B" w14:textId="5018062E" w:rsidR="00562297" w:rsidRDefault="00217AC9">
      <w:pPr>
        <w:pStyle w:val="TOC3"/>
        <w:tabs>
          <w:tab w:val="right" w:pos="9010"/>
        </w:tabs>
        <w:rPr>
          <w:rFonts w:eastAsiaTheme="minorEastAsia" w:cstheme="minorBidi"/>
          <w:smallCaps w:val="0"/>
          <w:noProof/>
          <w:sz w:val="24"/>
          <w:szCs w:val="24"/>
          <w:lang w:eastAsia="en-GB"/>
        </w:rPr>
      </w:pPr>
      <w:hyperlink w:anchor="_Toc47190620" w:history="1">
        <w:r w:rsidR="00562297" w:rsidRPr="00A61E23">
          <w:rPr>
            <w:rStyle w:val="Hyperlink"/>
            <w:noProof/>
          </w:rPr>
          <w:t>Do you see these criteria being used by the bond market?</w:t>
        </w:r>
        <w:r w:rsidR="00562297">
          <w:rPr>
            <w:noProof/>
            <w:webHidden/>
          </w:rPr>
          <w:tab/>
        </w:r>
        <w:r w:rsidR="00562297">
          <w:rPr>
            <w:noProof/>
            <w:webHidden/>
          </w:rPr>
          <w:fldChar w:fldCharType="begin"/>
        </w:r>
        <w:r w:rsidR="00562297">
          <w:rPr>
            <w:noProof/>
            <w:webHidden/>
          </w:rPr>
          <w:instrText xml:space="preserve"> PAGEREF _Toc47190620 \h </w:instrText>
        </w:r>
        <w:r w:rsidR="00562297">
          <w:rPr>
            <w:noProof/>
            <w:webHidden/>
          </w:rPr>
        </w:r>
        <w:r w:rsidR="00562297">
          <w:rPr>
            <w:noProof/>
            <w:webHidden/>
          </w:rPr>
          <w:fldChar w:fldCharType="separate"/>
        </w:r>
        <w:r w:rsidR="000951BD">
          <w:rPr>
            <w:noProof/>
            <w:webHidden/>
          </w:rPr>
          <w:t>3</w:t>
        </w:r>
        <w:r w:rsidR="00562297">
          <w:rPr>
            <w:noProof/>
            <w:webHidden/>
          </w:rPr>
          <w:fldChar w:fldCharType="end"/>
        </w:r>
      </w:hyperlink>
    </w:p>
    <w:p w14:paraId="4B657EDC" w14:textId="590E22DB" w:rsidR="00562297" w:rsidRDefault="00217AC9">
      <w:pPr>
        <w:pStyle w:val="TOC3"/>
        <w:tabs>
          <w:tab w:val="right" w:pos="9010"/>
        </w:tabs>
        <w:rPr>
          <w:rFonts w:eastAsiaTheme="minorEastAsia" w:cstheme="minorBidi"/>
          <w:smallCaps w:val="0"/>
          <w:noProof/>
          <w:sz w:val="24"/>
          <w:szCs w:val="24"/>
          <w:lang w:eastAsia="en-GB"/>
        </w:rPr>
      </w:pPr>
      <w:hyperlink w:anchor="_Toc47190621" w:history="1">
        <w:r w:rsidR="00562297" w:rsidRPr="00A61E23">
          <w:rPr>
            <w:rStyle w:val="Hyperlink"/>
            <w:noProof/>
          </w:rPr>
          <w:t>Does CBI view securitisation as green if the backed assets are green and/or the proceeds from the securitisation are used for green purposes?</w:t>
        </w:r>
        <w:r w:rsidR="00562297">
          <w:rPr>
            <w:noProof/>
            <w:webHidden/>
          </w:rPr>
          <w:tab/>
        </w:r>
        <w:r w:rsidR="00562297">
          <w:rPr>
            <w:noProof/>
            <w:webHidden/>
          </w:rPr>
          <w:fldChar w:fldCharType="begin"/>
        </w:r>
        <w:r w:rsidR="00562297">
          <w:rPr>
            <w:noProof/>
            <w:webHidden/>
          </w:rPr>
          <w:instrText xml:space="preserve"> PAGEREF _Toc47190621 \h </w:instrText>
        </w:r>
        <w:r w:rsidR="00562297">
          <w:rPr>
            <w:noProof/>
            <w:webHidden/>
          </w:rPr>
        </w:r>
        <w:r w:rsidR="00562297">
          <w:rPr>
            <w:noProof/>
            <w:webHidden/>
          </w:rPr>
          <w:fldChar w:fldCharType="separate"/>
        </w:r>
        <w:r w:rsidR="000951BD">
          <w:rPr>
            <w:noProof/>
            <w:webHidden/>
          </w:rPr>
          <w:t>3</w:t>
        </w:r>
        <w:r w:rsidR="00562297">
          <w:rPr>
            <w:noProof/>
            <w:webHidden/>
          </w:rPr>
          <w:fldChar w:fldCharType="end"/>
        </w:r>
      </w:hyperlink>
    </w:p>
    <w:p w14:paraId="0FC0A5C7" w14:textId="6FDD0A04" w:rsidR="00562297" w:rsidRDefault="00217AC9">
      <w:pPr>
        <w:pStyle w:val="TOC3"/>
        <w:tabs>
          <w:tab w:val="right" w:pos="9010"/>
        </w:tabs>
        <w:rPr>
          <w:rFonts w:eastAsiaTheme="minorEastAsia" w:cstheme="minorBidi"/>
          <w:smallCaps w:val="0"/>
          <w:noProof/>
          <w:sz w:val="24"/>
          <w:szCs w:val="24"/>
          <w:lang w:eastAsia="en-GB"/>
        </w:rPr>
      </w:pPr>
      <w:hyperlink w:anchor="_Toc47190622" w:history="1">
        <w:r w:rsidR="00562297" w:rsidRPr="00A61E23">
          <w:rPr>
            <w:rStyle w:val="Hyperlink"/>
            <w:noProof/>
          </w:rPr>
          <w:t>There are other investments that can make shipping more sustainable in other areas (beyond climate change) why are these not recognised by the criteria?</w:t>
        </w:r>
        <w:r w:rsidR="00562297">
          <w:rPr>
            <w:noProof/>
            <w:webHidden/>
          </w:rPr>
          <w:tab/>
        </w:r>
        <w:r w:rsidR="00562297">
          <w:rPr>
            <w:noProof/>
            <w:webHidden/>
          </w:rPr>
          <w:fldChar w:fldCharType="begin"/>
        </w:r>
        <w:r w:rsidR="00562297">
          <w:rPr>
            <w:noProof/>
            <w:webHidden/>
          </w:rPr>
          <w:instrText xml:space="preserve"> PAGEREF _Toc47190622 \h </w:instrText>
        </w:r>
        <w:r w:rsidR="00562297">
          <w:rPr>
            <w:noProof/>
            <w:webHidden/>
          </w:rPr>
        </w:r>
        <w:r w:rsidR="00562297">
          <w:rPr>
            <w:noProof/>
            <w:webHidden/>
          </w:rPr>
          <w:fldChar w:fldCharType="separate"/>
        </w:r>
        <w:r w:rsidR="000951BD">
          <w:rPr>
            <w:noProof/>
            <w:webHidden/>
          </w:rPr>
          <w:t>3</w:t>
        </w:r>
        <w:r w:rsidR="00562297">
          <w:rPr>
            <w:noProof/>
            <w:webHidden/>
          </w:rPr>
          <w:fldChar w:fldCharType="end"/>
        </w:r>
      </w:hyperlink>
    </w:p>
    <w:p w14:paraId="6CA46D53" w14:textId="37611ACE" w:rsidR="00562297" w:rsidRDefault="00217AC9">
      <w:pPr>
        <w:pStyle w:val="TOC3"/>
        <w:tabs>
          <w:tab w:val="right" w:pos="9010"/>
        </w:tabs>
        <w:rPr>
          <w:rFonts w:eastAsiaTheme="minorEastAsia" w:cstheme="minorBidi"/>
          <w:smallCaps w:val="0"/>
          <w:noProof/>
          <w:sz w:val="24"/>
          <w:szCs w:val="24"/>
          <w:lang w:eastAsia="en-GB"/>
        </w:rPr>
      </w:pPr>
      <w:hyperlink w:anchor="_Toc47190623" w:history="1">
        <w:r w:rsidR="00562297" w:rsidRPr="00A61E23">
          <w:rPr>
            <w:rStyle w:val="Hyperlink"/>
            <w:noProof/>
          </w:rPr>
          <w:t>What about leasing of equipment on board?</w:t>
        </w:r>
        <w:r w:rsidR="00562297">
          <w:rPr>
            <w:noProof/>
            <w:webHidden/>
          </w:rPr>
          <w:tab/>
        </w:r>
        <w:r w:rsidR="00562297">
          <w:rPr>
            <w:noProof/>
            <w:webHidden/>
          </w:rPr>
          <w:fldChar w:fldCharType="begin"/>
        </w:r>
        <w:r w:rsidR="00562297">
          <w:rPr>
            <w:noProof/>
            <w:webHidden/>
          </w:rPr>
          <w:instrText xml:space="preserve"> PAGEREF _Toc47190623 \h </w:instrText>
        </w:r>
        <w:r w:rsidR="00562297">
          <w:rPr>
            <w:noProof/>
            <w:webHidden/>
          </w:rPr>
        </w:r>
        <w:r w:rsidR="00562297">
          <w:rPr>
            <w:noProof/>
            <w:webHidden/>
          </w:rPr>
          <w:fldChar w:fldCharType="separate"/>
        </w:r>
        <w:r w:rsidR="000951BD">
          <w:rPr>
            <w:noProof/>
            <w:webHidden/>
          </w:rPr>
          <w:t>3</w:t>
        </w:r>
        <w:r w:rsidR="00562297">
          <w:rPr>
            <w:noProof/>
            <w:webHidden/>
          </w:rPr>
          <w:fldChar w:fldCharType="end"/>
        </w:r>
      </w:hyperlink>
    </w:p>
    <w:p w14:paraId="7B030588" w14:textId="6292BE72" w:rsidR="00562297" w:rsidRDefault="00217AC9">
      <w:pPr>
        <w:pStyle w:val="TOC3"/>
        <w:tabs>
          <w:tab w:val="right" w:pos="9010"/>
        </w:tabs>
        <w:rPr>
          <w:rFonts w:eastAsiaTheme="minorEastAsia" w:cstheme="minorBidi"/>
          <w:smallCaps w:val="0"/>
          <w:noProof/>
          <w:sz w:val="24"/>
          <w:szCs w:val="24"/>
          <w:lang w:eastAsia="en-GB"/>
        </w:rPr>
      </w:pPr>
      <w:hyperlink w:anchor="_Toc47190624" w:history="1">
        <w:r w:rsidR="00562297" w:rsidRPr="00A61E23">
          <w:rPr>
            <w:rStyle w:val="Hyperlink"/>
            <w:noProof/>
          </w:rPr>
          <w:t>Can assuers use the weighted average of a portfolio to meet the Certification criteria?</w:t>
        </w:r>
        <w:r w:rsidR="00562297">
          <w:rPr>
            <w:noProof/>
            <w:webHidden/>
          </w:rPr>
          <w:tab/>
        </w:r>
        <w:r w:rsidR="00562297">
          <w:rPr>
            <w:noProof/>
            <w:webHidden/>
          </w:rPr>
          <w:fldChar w:fldCharType="begin"/>
        </w:r>
        <w:r w:rsidR="00562297">
          <w:rPr>
            <w:noProof/>
            <w:webHidden/>
          </w:rPr>
          <w:instrText xml:space="preserve"> PAGEREF _Toc47190624 \h </w:instrText>
        </w:r>
        <w:r w:rsidR="00562297">
          <w:rPr>
            <w:noProof/>
            <w:webHidden/>
          </w:rPr>
        </w:r>
        <w:r w:rsidR="00562297">
          <w:rPr>
            <w:noProof/>
            <w:webHidden/>
          </w:rPr>
          <w:fldChar w:fldCharType="separate"/>
        </w:r>
        <w:r w:rsidR="000951BD">
          <w:rPr>
            <w:noProof/>
            <w:webHidden/>
          </w:rPr>
          <w:t>3</w:t>
        </w:r>
        <w:r w:rsidR="00562297">
          <w:rPr>
            <w:noProof/>
            <w:webHidden/>
          </w:rPr>
          <w:fldChar w:fldCharType="end"/>
        </w:r>
      </w:hyperlink>
    </w:p>
    <w:p w14:paraId="3DF82054" w14:textId="0F9026A1" w:rsidR="00562297" w:rsidRDefault="00217AC9">
      <w:pPr>
        <w:pStyle w:val="TOC3"/>
        <w:tabs>
          <w:tab w:val="right" w:pos="9010"/>
        </w:tabs>
        <w:rPr>
          <w:rFonts w:eastAsiaTheme="minorEastAsia" w:cstheme="minorBidi"/>
          <w:smallCaps w:val="0"/>
          <w:noProof/>
          <w:sz w:val="24"/>
          <w:szCs w:val="24"/>
          <w:lang w:eastAsia="en-GB"/>
        </w:rPr>
      </w:pPr>
      <w:hyperlink w:anchor="_Toc47190625" w:history="1">
        <w:r w:rsidR="00562297" w:rsidRPr="00A61E23">
          <w:rPr>
            <w:rStyle w:val="Hyperlink"/>
            <w:noProof/>
          </w:rPr>
          <w:t>Can Covered Bonds be Certified?</w:t>
        </w:r>
        <w:r w:rsidR="00562297">
          <w:rPr>
            <w:noProof/>
            <w:webHidden/>
          </w:rPr>
          <w:tab/>
        </w:r>
        <w:r w:rsidR="00562297">
          <w:rPr>
            <w:noProof/>
            <w:webHidden/>
          </w:rPr>
          <w:fldChar w:fldCharType="begin"/>
        </w:r>
        <w:r w:rsidR="00562297">
          <w:rPr>
            <w:noProof/>
            <w:webHidden/>
          </w:rPr>
          <w:instrText xml:space="preserve"> PAGEREF _Toc47190625 \h </w:instrText>
        </w:r>
        <w:r w:rsidR="00562297">
          <w:rPr>
            <w:noProof/>
            <w:webHidden/>
          </w:rPr>
        </w:r>
        <w:r w:rsidR="00562297">
          <w:rPr>
            <w:noProof/>
            <w:webHidden/>
          </w:rPr>
          <w:fldChar w:fldCharType="separate"/>
        </w:r>
        <w:r w:rsidR="000951BD">
          <w:rPr>
            <w:noProof/>
            <w:webHidden/>
          </w:rPr>
          <w:t>3</w:t>
        </w:r>
        <w:r w:rsidR="00562297">
          <w:rPr>
            <w:noProof/>
            <w:webHidden/>
          </w:rPr>
          <w:fldChar w:fldCharType="end"/>
        </w:r>
      </w:hyperlink>
    </w:p>
    <w:p w14:paraId="72FCFBF9" w14:textId="13DFDD48" w:rsidR="00562297" w:rsidRDefault="00562297">
      <w:pPr>
        <w:pStyle w:val="TOC2"/>
        <w:tabs>
          <w:tab w:val="right" w:pos="9010"/>
        </w:tabs>
        <w:rPr>
          <w:rFonts w:eastAsiaTheme="minorEastAsia" w:cstheme="minorBidi"/>
          <w:b w:val="0"/>
          <w:bCs w:val="0"/>
          <w:smallCaps w:val="0"/>
          <w:noProof/>
          <w:sz w:val="24"/>
          <w:szCs w:val="24"/>
          <w:lang w:eastAsia="en-GB"/>
        </w:rPr>
      </w:pPr>
      <w:r>
        <w:rPr>
          <w:rStyle w:val="Hyperlink"/>
          <w:noProof/>
        </w:rPr>
        <w:br/>
      </w:r>
      <w:hyperlink w:anchor="_Toc47190626" w:history="1">
        <w:r w:rsidRPr="00A61E23">
          <w:rPr>
            <w:rStyle w:val="Hyperlink"/>
            <w:noProof/>
          </w:rPr>
          <w:t>Questions about the MRP</w:t>
        </w:r>
        <w:r>
          <w:rPr>
            <w:noProof/>
            <w:webHidden/>
          </w:rPr>
          <w:tab/>
        </w:r>
        <w:r>
          <w:rPr>
            <w:noProof/>
            <w:webHidden/>
          </w:rPr>
          <w:fldChar w:fldCharType="begin"/>
        </w:r>
        <w:r>
          <w:rPr>
            <w:noProof/>
            <w:webHidden/>
          </w:rPr>
          <w:instrText xml:space="preserve"> PAGEREF _Toc47190626 \h </w:instrText>
        </w:r>
        <w:r>
          <w:rPr>
            <w:noProof/>
            <w:webHidden/>
          </w:rPr>
        </w:r>
        <w:r>
          <w:rPr>
            <w:noProof/>
            <w:webHidden/>
          </w:rPr>
          <w:fldChar w:fldCharType="separate"/>
        </w:r>
        <w:r w:rsidR="000951BD">
          <w:rPr>
            <w:noProof/>
            <w:webHidden/>
          </w:rPr>
          <w:t>4</w:t>
        </w:r>
        <w:r>
          <w:rPr>
            <w:noProof/>
            <w:webHidden/>
          </w:rPr>
          <w:fldChar w:fldCharType="end"/>
        </w:r>
      </w:hyperlink>
    </w:p>
    <w:p w14:paraId="6E5B67E8" w14:textId="18D15D42" w:rsidR="00562297" w:rsidRDefault="00217AC9">
      <w:pPr>
        <w:pStyle w:val="TOC3"/>
        <w:tabs>
          <w:tab w:val="right" w:pos="9010"/>
        </w:tabs>
        <w:rPr>
          <w:rFonts w:eastAsiaTheme="minorEastAsia" w:cstheme="minorBidi"/>
          <w:smallCaps w:val="0"/>
          <w:noProof/>
          <w:sz w:val="24"/>
          <w:szCs w:val="24"/>
          <w:lang w:eastAsia="en-GB"/>
        </w:rPr>
      </w:pPr>
      <w:hyperlink w:anchor="_Toc47190627" w:history="1">
        <w:r w:rsidR="00562297" w:rsidRPr="00A61E23">
          <w:rPr>
            <w:rStyle w:val="Hyperlink"/>
            <w:noProof/>
          </w:rPr>
          <w:t>The MRP presents an unknown burden on issuers. Such documentation does not exist in market. Can you provide some clarity on what is expected of issuers?</w:t>
        </w:r>
        <w:r w:rsidR="00562297">
          <w:rPr>
            <w:noProof/>
            <w:webHidden/>
          </w:rPr>
          <w:tab/>
        </w:r>
        <w:r w:rsidR="00562297">
          <w:rPr>
            <w:noProof/>
            <w:webHidden/>
          </w:rPr>
          <w:fldChar w:fldCharType="begin"/>
        </w:r>
        <w:r w:rsidR="00562297">
          <w:rPr>
            <w:noProof/>
            <w:webHidden/>
          </w:rPr>
          <w:instrText xml:space="preserve"> PAGEREF _Toc47190627 \h </w:instrText>
        </w:r>
        <w:r w:rsidR="00562297">
          <w:rPr>
            <w:noProof/>
            <w:webHidden/>
          </w:rPr>
        </w:r>
        <w:r w:rsidR="00562297">
          <w:rPr>
            <w:noProof/>
            <w:webHidden/>
          </w:rPr>
          <w:fldChar w:fldCharType="separate"/>
        </w:r>
        <w:r w:rsidR="000951BD">
          <w:rPr>
            <w:noProof/>
            <w:webHidden/>
          </w:rPr>
          <w:t>4</w:t>
        </w:r>
        <w:r w:rsidR="00562297">
          <w:rPr>
            <w:noProof/>
            <w:webHidden/>
          </w:rPr>
          <w:fldChar w:fldCharType="end"/>
        </w:r>
      </w:hyperlink>
    </w:p>
    <w:p w14:paraId="43AE1136" w14:textId="1C58DCD8" w:rsidR="00562297" w:rsidRDefault="00217AC9">
      <w:pPr>
        <w:pStyle w:val="TOC3"/>
        <w:tabs>
          <w:tab w:val="right" w:pos="9010"/>
        </w:tabs>
        <w:rPr>
          <w:rFonts w:eastAsiaTheme="minorEastAsia" w:cstheme="minorBidi"/>
          <w:smallCaps w:val="0"/>
          <w:noProof/>
          <w:sz w:val="24"/>
          <w:szCs w:val="24"/>
          <w:lang w:eastAsia="en-GB"/>
        </w:rPr>
      </w:pPr>
      <w:hyperlink w:anchor="_Toc47190628" w:history="1">
        <w:r w:rsidR="00562297" w:rsidRPr="00A61E23">
          <w:rPr>
            <w:rStyle w:val="Hyperlink"/>
            <w:rFonts w:eastAsia="MS Gothic"/>
            <w:noProof/>
          </w:rPr>
          <w:t>How should biofuels/bioLNG be treated in the MRP?</w:t>
        </w:r>
        <w:r w:rsidR="00562297">
          <w:rPr>
            <w:noProof/>
            <w:webHidden/>
          </w:rPr>
          <w:tab/>
        </w:r>
        <w:r w:rsidR="00562297">
          <w:rPr>
            <w:noProof/>
            <w:webHidden/>
          </w:rPr>
          <w:fldChar w:fldCharType="begin"/>
        </w:r>
        <w:r w:rsidR="00562297">
          <w:rPr>
            <w:noProof/>
            <w:webHidden/>
          </w:rPr>
          <w:instrText xml:space="preserve"> PAGEREF _Toc47190628 \h </w:instrText>
        </w:r>
        <w:r w:rsidR="00562297">
          <w:rPr>
            <w:noProof/>
            <w:webHidden/>
          </w:rPr>
        </w:r>
        <w:r w:rsidR="00562297">
          <w:rPr>
            <w:noProof/>
            <w:webHidden/>
          </w:rPr>
          <w:fldChar w:fldCharType="separate"/>
        </w:r>
        <w:r w:rsidR="000951BD">
          <w:rPr>
            <w:noProof/>
            <w:webHidden/>
          </w:rPr>
          <w:t>4</w:t>
        </w:r>
        <w:r w:rsidR="00562297">
          <w:rPr>
            <w:noProof/>
            <w:webHidden/>
          </w:rPr>
          <w:fldChar w:fldCharType="end"/>
        </w:r>
      </w:hyperlink>
    </w:p>
    <w:p w14:paraId="07D72E0C" w14:textId="752EF949" w:rsidR="00562297" w:rsidRDefault="00217AC9">
      <w:pPr>
        <w:pStyle w:val="TOC3"/>
        <w:tabs>
          <w:tab w:val="right" w:pos="9010"/>
        </w:tabs>
        <w:rPr>
          <w:rFonts w:eastAsiaTheme="minorEastAsia" w:cstheme="minorBidi"/>
          <w:smallCaps w:val="0"/>
          <w:noProof/>
          <w:sz w:val="24"/>
          <w:szCs w:val="24"/>
          <w:lang w:eastAsia="en-GB"/>
        </w:rPr>
      </w:pPr>
      <w:hyperlink w:anchor="_Toc47190629" w:history="1">
        <w:r w:rsidR="00562297" w:rsidRPr="00A61E23">
          <w:rPr>
            <w:rStyle w:val="Hyperlink"/>
            <w:rFonts w:eastAsia="MS Gothic"/>
            <w:noProof/>
          </w:rPr>
          <w:t>How do issuers who use a portfolio approach produce an MRP?</w:t>
        </w:r>
        <w:r w:rsidR="00562297">
          <w:rPr>
            <w:noProof/>
            <w:webHidden/>
          </w:rPr>
          <w:tab/>
        </w:r>
        <w:r w:rsidR="00562297">
          <w:rPr>
            <w:noProof/>
            <w:webHidden/>
          </w:rPr>
          <w:fldChar w:fldCharType="begin"/>
        </w:r>
        <w:r w:rsidR="00562297">
          <w:rPr>
            <w:noProof/>
            <w:webHidden/>
          </w:rPr>
          <w:instrText xml:space="preserve"> PAGEREF _Toc47190629 \h </w:instrText>
        </w:r>
        <w:r w:rsidR="00562297">
          <w:rPr>
            <w:noProof/>
            <w:webHidden/>
          </w:rPr>
        </w:r>
        <w:r w:rsidR="00562297">
          <w:rPr>
            <w:noProof/>
            <w:webHidden/>
          </w:rPr>
          <w:fldChar w:fldCharType="separate"/>
        </w:r>
        <w:r w:rsidR="000951BD">
          <w:rPr>
            <w:noProof/>
            <w:webHidden/>
          </w:rPr>
          <w:t>4</w:t>
        </w:r>
        <w:r w:rsidR="00562297">
          <w:rPr>
            <w:noProof/>
            <w:webHidden/>
          </w:rPr>
          <w:fldChar w:fldCharType="end"/>
        </w:r>
      </w:hyperlink>
    </w:p>
    <w:p w14:paraId="650E2546" w14:textId="67F97FDA" w:rsidR="00562297" w:rsidRDefault="00562297">
      <w:pPr>
        <w:pStyle w:val="TOC2"/>
        <w:tabs>
          <w:tab w:val="right" w:pos="9010"/>
        </w:tabs>
        <w:rPr>
          <w:rFonts w:eastAsiaTheme="minorEastAsia" w:cstheme="minorBidi"/>
          <w:b w:val="0"/>
          <w:bCs w:val="0"/>
          <w:smallCaps w:val="0"/>
          <w:noProof/>
          <w:sz w:val="24"/>
          <w:szCs w:val="24"/>
          <w:lang w:eastAsia="en-GB"/>
        </w:rPr>
      </w:pPr>
      <w:r>
        <w:rPr>
          <w:rStyle w:val="Hyperlink"/>
          <w:noProof/>
        </w:rPr>
        <w:br/>
      </w:r>
      <w:hyperlink w:anchor="_Toc47190630" w:history="1">
        <w:r w:rsidRPr="00A61E23">
          <w:rPr>
            <w:rStyle w:val="Hyperlink"/>
            <w:rFonts w:eastAsia="MS Gothic"/>
            <w:noProof/>
          </w:rPr>
          <w:t>Questions about propulsion fuels and technology</w:t>
        </w:r>
        <w:r>
          <w:rPr>
            <w:noProof/>
            <w:webHidden/>
          </w:rPr>
          <w:tab/>
        </w:r>
        <w:r>
          <w:rPr>
            <w:noProof/>
            <w:webHidden/>
          </w:rPr>
          <w:fldChar w:fldCharType="begin"/>
        </w:r>
        <w:r>
          <w:rPr>
            <w:noProof/>
            <w:webHidden/>
          </w:rPr>
          <w:instrText xml:space="preserve"> PAGEREF _Toc47190630 \h </w:instrText>
        </w:r>
        <w:r>
          <w:rPr>
            <w:noProof/>
            <w:webHidden/>
          </w:rPr>
        </w:r>
        <w:r>
          <w:rPr>
            <w:noProof/>
            <w:webHidden/>
          </w:rPr>
          <w:fldChar w:fldCharType="separate"/>
        </w:r>
        <w:r w:rsidR="000951BD">
          <w:rPr>
            <w:noProof/>
            <w:webHidden/>
          </w:rPr>
          <w:t>4</w:t>
        </w:r>
        <w:r>
          <w:rPr>
            <w:noProof/>
            <w:webHidden/>
          </w:rPr>
          <w:fldChar w:fldCharType="end"/>
        </w:r>
      </w:hyperlink>
    </w:p>
    <w:p w14:paraId="6AB8E0FE" w14:textId="0EB8DFA7" w:rsidR="00562297" w:rsidRDefault="00217AC9">
      <w:pPr>
        <w:pStyle w:val="TOC3"/>
        <w:tabs>
          <w:tab w:val="right" w:pos="9010"/>
        </w:tabs>
        <w:rPr>
          <w:rFonts w:eastAsiaTheme="minorEastAsia" w:cstheme="minorBidi"/>
          <w:smallCaps w:val="0"/>
          <w:noProof/>
          <w:sz w:val="24"/>
          <w:szCs w:val="24"/>
          <w:lang w:eastAsia="en-GB"/>
        </w:rPr>
      </w:pPr>
      <w:hyperlink w:anchor="_Toc47190631" w:history="1">
        <w:r w:rsidR="00562297" w:rsidRPr="00A61E23">
          <w:rPr>
            <w:rStyle w:val="Hyperlink"/>
            <w:noProof/>
          </w:rPr>
          <w:t xml:space="preserve">Does switching the LNG mean the asset is eligible? </w:t>
        </w:r>
        <w:r w:rsidR="00562297" w:rsidRPr="00A61E23">
          <w:rPr>
            <w:rStyle w:val="Hyperlink"/>
            <w:rFonts w:ascii="MS Gothic" w:eastAsia="MS Gothic" w:hAnsi="MS Gothic" w:cs="MS Gothic"/>
            <w:noProof/>
          </w:rPr>
          <w:t> </w:t>
        </w:r>
        <w:r w:rsidR="00562297">
          <w:rPr>
            <w:noProof/>
            <w:webHidden/>
          </w:rPr>
          <w:tab/>
        </w:r>
        <w:r w:rsidR="00562297">
          <w:rPr>
            <w:noProof/>
            <w:webHidden/>
          </w:rPr>
          <w:fldChar w:fldCharType="begin"/>
        </w:r>
        <w:r w:rsidR="00562297">
          <w:rPr>
            <w:noProof/>
            <w:webHidden/>
          </w:rPr>
          <w:instrText xml:space="preserve"> PAGEREF _Toc47190631 \h </w:instrText>
        </w:r>
        <w:r w:rsidR="00562297">
          <w:rPr>
            <w:noProof/>
            <w:webHidden/>
          </w:rPr>
        </w:r>
        <w:r w:rsidR="00562297">
          <w:rPr>
            <w:noProof/>
            <w:webHidden/>
          </w:rPr>
          <w:fldChar w:fldCharType="separate"/>
        </w:r>
        <w:r w:rsidR="000951BD">
          <w:rPr>
            <w:noProof/>
            <w:webHidden/>
          </w:rPr>
          <w:t>4</w:t>
        </w:r>
        <w:r w:rsidR="00562297">
          <w:rPr>
            <w:noProof/>
            <w:webHidden/>
          </w:rPr>
          <w:fldChar w:fldCharType="end"/>
        </w:r>
      </w:hyperlink>
    </w:p>
    <w:p w14:paraId="519C660F" w14:textId="342F1450" w:rsidR="00562297" w:rsidRDefault="00217AC9">
      <w:pPr>
        <w:pStyle w:val="TOC3"/>
        <w:tabs>
          <w:tab w:val="right" w:pos="9010"/>
        </w:tabs>
        <w:rPr>
          <w:rFonts w:eastAsiaTheme="minorEastAsia" w:cstheme="minorBidi"/>
          <w:smallCaps w:val="0"/>
          <w:noProof/>
          <w:sz w:val="24"/>
          <w:szCs w:val="24"/>
          <w:lang w:eastAsia="en-GB"/>
        </w:rPr>
      </w:pPr>
      <w:hyperlink w:anchor="_Toc47190632" w:history="1">
        <w:r w:rsidR="00562297" w:rsidRPr="00A61E23">
          <w:rPr>
            <w:rStyle w:val="Hyperlink"/>
            <w:noProof/>
          </w:rPr>
          <w:t>Are you proposing Ammonia as the end fuel solution? Why?</w:t>
        </w:r>
        <w:r w:rsidR="00562297">
          <w:rPr>
            <w:noProof/>
            <w:webHidden/>
          </w:rPr>
          <w:tab/>
        </w:r>
        <w:r w:rsidR="00562297">
          <w:rPr>
            <w:noProof/>
            <w:webHidden/>
          </w:rPr>
          <w:fldChar w:fldCharType="begin"/>
        </w:r>
        <w:r w:rsidR="00562297">
          <w:rPr>
            <w:noProof/>
            <w:webHidden/>
          </w:rPr>
          <w:instrText xml:space="preserve"> PAGEREF _Toc47190632 \h </w:instrText>
        </w:r>
        <w:r w:rsidR="00562297">
          <w:rPr>
            <w:noProof/>
            <w:webHidden/>
          </w:rPr>
        </w:r>
        <w:r w:rsidR="00562297">
          <w:rPr>
            <w:noProof/>
            <w:webHidden/>
          </w:rPr>
          <w:fldChar w:fldCharType="separate"/>
        </w:r>
        <w:r w:rsidR="000951BD">
          <w:rPr>
            <w:noProof/>
            <w:webHidden/>
          </w:rPr>
          <w:t>5</w:t>
        </w:r>
        <w:r w:rsidR="00562297">
          <w:rPr>
            <w:noProof/>
            <w:webHidden/>
          </w:rPr>
          <w:fldChar w:fldCharType="end"/>
        </w:r>
      </w:hyperlink>
    </w:p>
    <w:p w14:paraId="78043BF7" w14:textId="1CFA3BEE" w:rsidR="00562297" w:rsidRDefault="00217AC9">
      <w:pPr>
        <w:pStyle w:val="TOC3"/>
        <w:tabs>
          <w:tab w:val="right" w:pos="9010"/>
        </w:tabs>
        <w:rPr>
          <w:rFonts w:eastAsiaTheme="minorEastAsia" w:cstheme="minorBidi"/>
          <w:smallCaps w:val="0"/>
          <w:noProof/>
          <w:sz w:val="24"/>
          <w:szCs w:val="24"/>
          <w:lang w:eastAsia="en-GB"/>
        </w:rPr>
      </w:pPr>
      <w:hyperlink w:anchor="_Toc47190633" w:history="1">
        <w:r w:rsidR="00562297" w:rsidRPr="00A61E23">
          <w:rPr>
            <w:rStyle w:val="Hyperlink"/>
            <w:noProof/>
          </w:rPr>
          <w:t>Are Methanol and Ethanol on the list of climate resilient fuels?</w:t>
        </w:r>
        <w:r w:rsidR="00562297">
          <w:rPr>
            <w:noProof/>
            <w:webHidden/>
          </w:rPr>
          <w:tab/>
        </w:r>
        <w:r w:rsidR="00562297">
          <w:rPr>
            <w:noProof/>
            <w:webHidden/>
          </w:rPr>
          <w:fldChar w:fldCharType="begin"/>
        </w:r>
        <w:r w:rsidR="00562297">
          <w:rPr>
            <w:noProof/>
            <w:webHidden/>
          </w:rPr>
          <w:instrText xml:space="preserve"> PAGEREF _Toc47190633 \h </w:instrText>
        </w:r>
        <w:r w:rsidR="00562297">
          <w:rPr>
            <w:noProof/>
            <w:webHidden/>
          </w:rPr>
        </w:r>
        <w:r w:rsidR="00562297">
          <w:rPr>
            <w:noProof/>
            <w:webHidden/>
          </w:rPr>
          <w:fldChar w:fldCharType="separate"/>
        </w:r>
        <w:r w:rsidR="000951BD">
          <w:rPr>
            <w:noProof/>
            <w:webHidden/>
          </w:rPr>
          <w:t>5</w:t>
        </w:r>
        <w:r w:rsidR="00562297">
          <w:rPr>
            <w:noProof/>
            <w:webHidden/>
          </w:rPr>
          <w:fldChar w:fldCharType="end"/>
        </w:r>
      </w:hyperlink>
    </w:p>
    <w:p w14:paraId="557D6FDC" w14:textId="57B12FB6" w:rsidR="00562297" w:rsidRDefault="00217AC9">
      <w:pPr>
        <w:pStyle w:val="TOC3"/>
        <w:tabs>
          <w:tab w:val="right" w:pos="9010"/>
        </w:tabs>
        <w:rPr>
          <w:rFonts w:eastAsiaTheme="minorEastAsia" w:cstheme="minorBidi"/>
          <w:smallCaps w:val="0"/>
          <w:noProof/>
          <w:sz w:val="24"/>
          <w:szCs w:val="24"/>
          <w:lang w:eastAsia="en-GB"/>
        </w:rPr>
      </w:pPr>
      <w:hyperlink w:anchor="_Toc47190634" w:history="1">
        <w:r w:rsidR="00562297" w:rsidRPr="00A61E23">
          <w:rPr>
            <w:rStyle w:val="Hyperlink"/>
            <w:noProof/>
          </w:rPr>
          <w:t>Why are synthetic hydrocarbons and alcohols not included in the list of eligible zero emission fuels?</w:t>
        </w:r>
        <w:r w:rsidR="00562297">
          <w:rPr>
            <w:noProof/>
            <w:webHidden/>
          </w:rPr>
          <w:tab/>
        </w:r>
        <w:r w:rsidR="00562297">
          <w:rPr>
            <w:noProof/>
            <w:webHidden/>
          </w:rPr>
          <w:fldChar w:fldCharType="begin"/>
        </w:r>
        <w:r w:rsidR="00562297">
          <w:rPr>
            <w:noProof/>
            <w:webHidden/>
          </w:rPr>
          <w:instrText xml:space="preserve"> PAGEREF _Toc47190634 \h </w:instrText>
        </w:r>
        <w:r w:rsidR="00562297">
          <w:rPr>
            <w:noProof/>
            <w:webHidden/>
          </w:rPr>
        </w:r>
        <w:r w:rsidR="00562297">
          <w:rPr>
            <w:noProof/>
            <w:webHidden/>
          </w:rPr>
          <w:fldChar w:fldCharType="separate"/>
        </w:r>
        <w:r w:rsidR="000951BD">
          <w:rPr>
            <w:noProof/>
            <w:webHidden/>
          </w:rPr>
          <w:t>5</w:t>
        </w:r>
        <w:r w:rsidR="00562297">
          <w:rPr>
            <w:noProof/>
            <w:webHidden/>
          </w:rPr>
          <w:fldChar w:fldCharType="end"/>
        </w:r>
      </w:hyperlink>
    </w:p>
    <w:p w14:paraId="483931F3" w14:textId="5E107727" w:rsidR="00562297" w:rsidRDefault="00562297">
      <w:pPr>
        <w:pStyle w:val="TOC2"/>
        <w:tabs>
          <w:tab w:val="right" w:pos="9010"/>
        </w:tabs>
        <w:rPr>
          <w:rFonts w:eastAsiaTheme="minorEastAsia" w:cstheme="minorBidi"/>
          <w:b w:val="0"/>
          <w:bCs w:val="0"/>
          <w:smallCaps w:val="0"/>
          <w:noProof/>
          <w:sz w:val="24"/>
          <w:szCs w:val="24"/>
          <w:lang w:eastAsia="en-GB"/>
        </w:rPr>
      </w:pPr>
      <w:r>
        <w:rPr>
          <w:rStyle w:val="Hyperlink"/>
          <w:noProof/>
        </w:rPr>
        <w:br/>
      </w:r>
      <w:hyperlink w:anchor="_Toc47190635" w:history="1">
        <w:r w:rsidRPr="00A61E23">
          <w:rPr>
            <w:rStyle w:val="Hyperlink"/>
            <w:rFonts w:eastAsia="Times New Roman"/>
            <w:noProof/>
            <w:lang w:eastAsia="en-GB"/>
          </w:rPr>
          <w:t>Questions on metrics:</w:t>
        </w:r>
        <w:r>
          <w:rPr>
            <w:noProof/>
            <w:webHidden/>
          </w:rPr>
          <w:tab/>
        </w:r>
        <w:r>
          <w:rPr>
            <w:noProof/>
            <w:webHidden/>
          </w:rPr>
          <w:fldChar w:fldCharType="begin"/>
        </w:r>
        <w:r>
          <w:rPr>
            <w:noProof/>
            <w:webHidden/>
          </w:rPr>
          <w:instrText xml:space="preserve"> PAGEREF _Toc47190635 \h </w:instrText>
        </w:r>
        <w:r>
          <w:rPr>
            <w:noProof/>
            <w:webHidden/>
          </w:rPr>
        </w:r>
        <w:r>
          <w:rPr>
            <w:noProof/>
            <w:webHidden/>
          </w:rPr>
          <w:fldChar w:fldCharType="separate"/>
        </w:r>
        <w:r w:rsidR="000951BD">
          <w:rPr>
            <w:noProof/>
            <w:webHidden/>
          </w:rPr>
          <w:t>6</w:t>
        </w:r>
        <w:r>
          <w:rPr>
            <w:noProof/>
            <w:webHidden/>
          </w:rPr>
          <w:fldChar w:fldCharType="end"/>
        </w:r>
      </w:hyperlink>
    </w:p>
    <w:p w14:paraId="553E07C0" w14:textId="123E92F0" w:rsidR="00562297" w:rsidRDefault="00217AC9">
      <w:pPr>
        <w:pStyle w:val="TOC3"/>
        <w:tabs>
          <w:tab w:val="right" w:pos="9010"/>
        </w:tabs>
        <w:rPr>
          <w:rFonts w:eastAsiaTheme="minorEastAsia" w:cstheme="minorBidi"/>
          <w:smallCaps w:val="0"/>
          <w:noProof/>
          <w:sz w:val="24"/>
          <w:szCs w:val="24"/>
          <w:lang w:eastAsia="en-GB"/>
        </w:rPr>
      </w:pPr>
      <w:hyperlink w:anchor="_Toc47190636" w:history="1">
        <w:r w:rsidR="00562297" w:rsidRPr="00A61E23">
          <w:rPr>
            <w:rStyle w:val="Hyperlink"/>
            <w:rFonts w:eastAsia="Times New Roman"/>
            <w:noProof/>
            <w:shd w:val="clear" w:color="auto" w:fill="FFFFFF"/>
            <w:lang w:eastAsia="en-GB"/>
          </w:rPr>
          <w:t>The criteria require that “design deadweight” is used. Are you referring to the dwt that corresponds to the design draft or the deadweight that corresponds to the scantling draft?</w:t>
        </w:r>
        <w:r w:rsidR="00562297">
          <w:rPr>
            <w:noProof/>
            <w:webHidden/>
          </w:rPr>
          <w:tab/>
        </w:r>
        <w:r w:rsidR="00562297">
          <w:rPr>
            <w:noProof/>
            <w:webHidden/>
          </w:rPr>
          <w:fldChar w:fldCharType="begin"/>
        </w:r>
        <w:r w:rsidR="00562297">
          <w:rPr>
            <w:noProof/>
            <w:webHidden/>
          </w:rPr>
          <w:instrText xml:space="preserve"> PAGEREF _Toc47190636 \h </w:instrText>
        </w:r>
        <w:r w:rsidR="00562297">
          <w:rPr>
            <w:noProof/>
            <w:webHidden/>
          </w:rPr>
        </w:r>
        <w:r w:rsidR="00562297">
          <w:rPr>
            <w:noProof/>
            <w:webHidden/>
          </w:rPr>
          <w:fldChar w:fldCharType="separate"/>
        </w:r>
        <w:r w:rsidR="000951BD">
          <w:rPr>
            <w:noProof/>
            <w:webHidden/>
          </w:rPr>
          <w:t>6</w:t>
        </w:r>
        <w:r w:rsidR="00562297">
          <w:rPr>
            <w:noProof/>
            <w:webHidden/>
          </w:rPr>
          <w:fldChar w:fldCharType="end"/>
        </w:r>
      </w:hyperlink>
    </w:p>
    <w:p w14:paraId="47BC2DBC" w14:textId="3F5D4EBB" w:rsidR="00562297" w:rsidRDefault="00217AC9">
      <w:pPr>
        <w:pStyle w:val="TOC3"/>
        <w:tabs>
          <w:tab w:val="right" w:pos="9010"/>
        </w:tabs>
        <w:rPr>
          <w:rFonts w:eastAsiaTheme="minorEastAsia" w:cstheme="minorBidi"/>
          <w:smallCaps w:val="0"/>
          <w:noProof/>
          <w:sz w:val="24"/>
          <w:szCs w:val="24"/>
          <w:lang w:eastAsia="en-GB"/>
        </w:rPr>
      </w:pPr>
      <w:hyperlink w:anchor="_Toc47190637" w:history="1">
        <w:r w:rsidR="00562297" w:rsidRPr="00A61E23">
          <w:rPr>
            <w:rStyle w:val="Hyperlink"/>
            <w:rFonts w:eastAsia="Times New Roman"/>
            <w:noProof/>
            <w:shd w:val="clear" w:color="auto" w:fill="FFFFFF"/>
            <w:lang w:eastAsia="en-GB"/>
          </w:rPr>
          <w:t>How was the trajectory of the criteria produced?</w:t>
        </w:r>
        <w:r w:rsidR="00562297">
          <w:rPr>
            <w:noProof/>
            <w:webHidden/>
          </w:rPr>
          <w:tab/>
        </w:r>
        <w:r w:rsidR="00562297">
          <w:rPr>
            <w:noProof/>
            <w:webHidden/>
          </w:rPr>
          <w:fldChar w:fldCharType="begin"/>
        </w:r>
        <w:r w:rsidR="00562297">
          <w:rPr>
            <w:noProof/>
            <w:webHidden/>
          </w:rPr>
          <w:instrText xml:space="preserve"> PAGEREF _Toc47190637 \h </w:instrText>
        </w:r>
        <w:r w:rsidR="00562297">
          <w:rPr>
            <w:noProof/>
            <w:webHidden/>
          </w:rPr>
        </w:r>
        <w:r w:rsidR="00562297">
          <w:rPr>
            <w:noProof/>
            <w:webHidden/>
          </w:rPr>
          <w:fldChar w:fldCharType="separate"/>
        </w:r>
        <w:r w:rsidR="000951BD">
          <w:rPr>
            <w:noProof/>
            <w:webHidden/>
          </w:rPr>
          <w:t>6</w:t>
        </w:r>
        <w:r w:rsidR="00562297">
          <w:rPr>
            <w:noProof/>
            <w:webHidden/>
          </w:rPr>
          <w:fldChar w:fldCharType="end"/>
        </w:r>
      </w:hyperlink>
    </w:p>
    <w:p w14:paraId="19336F19" w14:textId="4C2E0E3B" w:rsidR="00562297" w:rsidRDefault="00217AC9">
      <w:pPr>
        <w:pStyle w:val="TOC3"/>
        <w:tabs>
          <w:tab w:val="right" w:pos="9010"/>
        </w:tabs>
        <w:rPr>
          <w:rFonts w:eastAsiaTheme="minorEastAsia" w:cstheme="minorBidi"/>
          <w:smallCaps w:val="0"/>
          <w:noProof/>
          <w:sz w:val="24"/>
          <w:szCs w:val="24"/>
          <w:lang w:eastAsia="en-GB"/>
        </w:rPr>
      </w:pPr>
      <w:hyperlink w:anchor="_Toc47190638" w:history="1">
        <w:r w:rsidR="00562297" w:rsidRPr="00A61E23">
          <w:rPr>
            <w:rStyle w:val="Hyperlink"/>
            <w:rFonts w:eastAsia="Times New Roman"/>
            <w:noProof/>
            <w:shd w:val="clear" w:color="auto" w:fill="FFFFFF"/>
            <w:lang w:eastAsia="en-GB"/>
          </w:rPr>
          <w:t>What reference data are your emissions intensity values based on?</w:t>
        </w:r>
        <w:r w:rsidR="00562297">
          <w:rPr>
            <w:noProof/>
            <w:webHidden/>
          </w:rPr>
          <w:tab/>
        </w:r>
        <w:r w:rsidR="00562297">
          <w:rPr>
            <w:noProof/>
            <w:webHidden/>
          </w:rPr>
          <w:fldChar w:fldCharType="begin"/>
        </w:r>
        <w:r w:rsidR="00562297">
          <w:rPr>
            <w:noProof/>
            <w:webHidden/>
          </w:rPr>
          <w:instrText xml:space="preserve"> PAGEREF _Toc47190638 \h </w:instrText>
        </w:r>
        <w:r w:rsidR="00562297">
          <w:rPr>
            <w:noProof/>
            <w:webHidden/>
          </w:rPr>
        </w:r>
        <w:r w:rsidR="00562297">
          <w:rPr>
            <w:noProof/>
            <w:webHidden/>
          </w:rPr>
          <w:fldChar w:fldCharType="separate"/>
        </w:r>
        <w:r w:rsidR="000951BD">
          <w:rPr>
            <w:noProof/>
            <w:webHidden/>
          </w:rPr>
          <w:t>6</w:t>
        </w:r>
        <w:r w:rsidR="00562297">
          <w:rPr>
            <w:noProof/>
            <w:webHidden/>
          </w:rPr>
          <w:fldChar w:fldCharType="end"/>
        </w:r>
      </w:hyperlink>
    </w:p>
    <w:p w14:paraId="6539D7D7" w14:textId="3B3821C0" w:rsidR="00562297" w:rsidRDefault="00217AC9">
      <w:pPr>
        <w:pStyle w:val="TOC3"/>
        <w:tabs>
          <w:tab w:val="right" w:pos="9010"/>
        </w:tabs>
        <w:rPr>
          <w:rFonts w:eastAsiaTheme="minorEastAsia" w:cstheme="minorBidi"/>
          <w:smallCaps w:val="0"/>
          <w:noProof/>
          <w:sz w:val="24"/>
          <w:szCs w:val="24"/>
          <w:lang w:eastAsia="en-GB"/>
        </w:rPr>
      </w:pPr>
      <w:hyperlink w:anchor="_Toc47190639" w:history="1">
        <w:r w:rsidR="00562297" w:rsidRPr="00A61E23">
          <w:rPr>
            <w:rStyle w:val="Hyperlink"/>
            <w:rFonts w:eastAsia="Times New Roman"/>
            <w:noProof/>
            <w:shd w:val="clear" w:color="auto" w:fill="FFFFFF"/>
            <w:lang w:eastAsia="en-GB"/>
          </w:rPr>
          <w:t>Why are you using tank-to-wake metrics instead of well-to-wake metrics?  Well-to-wake metrics have their benefits. However, such metrics are currently unavailable. The CBI criteria require measurement, not estimation of emissions. Such measurement is not currently available for the upstream emissions associated with the different energy systems that the transition will require.</w:t>
        </w:r>
        <w:r w:rsidR="00562297">
          <w:rPr>
            <w:noProof/>
            <w:webHidden/>
          </w:rPr>
          <w:tab/>
        </w:r>
        <w:r w:rsidR="00562297">
          <w:rPr>
            <w:noProof/>
            <w:webHidden/>
          </w:rPr>
          <w:fldChar w:fldCharType="begin"/>
        </w:r>
        <w:r w:rsidR="00562297">
          <w:rPr>
            <w:noProof/>
            <w:webHidden/>
          </w:rPr>
          <w:instrText xml:space="preserve"> PAGEREF _Toc47190639 \h </w:instrText>
        </w:r>
        <w:r w:rsidR="00562297">
          <w:rPr>
            <w:noProof/>
            <w:webHidden/>
          </w:rPr>
        </w:r>
        <w:r w:rsidR="00562297">
          <w:rPr>
            <w:noProof/>
            <w:webHidden/>
          </w:rPr>
          <w:fldChar w:fldCharType="separate"/>
        </w:r>
        <w:r w:rsidR="000951BD">
          <w:rPr>
            <w:noProof/>
            <w:webHidden/>
          </w:rPr>
          <w:t>6</w:t>
        </w:r>
        <w:r w:rsidR="00562297">
          <w:rPr>
            <w:noProof/>
            <w:webHidden/>
          </w:rPr>
          <w:fldChar w:fldCharType="end"/>
        </w:r>
      </w:hyperlink>
    </w:p>
    <w:p w14:paraId="771A3110" w14:textId="56F8A225" w:rsidR="00562297" w:rsidRDefault="00217AC9">
      <w:pPr>
        <w:pStyle w:val="TOC3"/>
        <w:tabs>
          <w:tab w:val="right" w:pos="9010"/>
        </w:tabs>
        <w:rPr>
          <w:rFonts w:eastAsiaTheme="minorEastAsia" w:cstheme="minorBidi"/>
          <w:smallCaps w:val="0"/>
          <w:noProof/>
          <w:sz w:val="24"/>
          <w:szCs w:val="24"/>
          <w:lang w:eastAsia="en-GB"/>
        </w:rPr>
      </w:pPr>
      <w:hyperlink w:anchor="_Toc47190640" w:history="1">
        <w:r w:rsidR="00562297" w:rsidRPr="00A61E23">
          <w:rPr>
            <w:rStyle w:val="Hyperlink"/>
            <w:rFonts w:eastAsia="Times New Roman"/>
            <w:noProof/>
            <w:shd w:val="clear" w:color="auto" w:fill="FFFFFF"/>
            <w:lang w:eastAsia="en-GB"/>
          </w:rPr>
          <w:t>That said, the shipping criteria will be reviewed on a biennial basis and we look forward to incorporating a more robust metric.</w:t>
        </w:r>
        <w:r w:rsidR="00562297">
          <w:rPr>
            <w:noProof/>
            <w:webHidden/>
          </w:rPr>
          <w:tab/>
        </w:r>
        <w:r w:rsidR="00562297">
          <w:rPr>
            <w:noProof/>
            <w:webHidden/>
          </w:rPr>
          <w:fldChar w:fldCharType="begin"/>
        </w:r>
        <w:r w:rsidR="00562297">
          <w:rPr>
            <w:noProof/>
            <w:webHidden/>
          </w:rPr>
          <w:instrText xml:space="preserve"> PAGEREF _Toc47190640 \h </w:instrText>
        </w:r>
        <w:r w:rsidR="00562297">
          <w:rPr>
            <w:noProof/>
            <w:webHidden/>
          </w:rPr>
        </w:r>
        <w:r w:rsidR="00562297">
          <w:rPr>
            <w:noProof/>
            <w:webHidden/>
          </w:rPr>
          <w:fldChar w:fldCharType="separate"/>
        </w:r>
        <w:r w:rsidR="000951BD">
          <w:rPr>
            <w:noProof/>
            <w:webHidden/>
          </w:rPr>
          <w:t>6</w:t>
        </w:r>
        <w:r w:rsidR="00562297">
          <w:rPr>
            <w:noProof/>
            <w:webHidden/>
          </w:rPr>
          <w:fldChar w:fldCharType="end"/>
        </w:r>
      </w:hyperlink>
    </w:p>
    <w:p w14:paraId="42D92A79" w14:textId="14367CD5" w:rsidR="00562297" w:rsidRDefault="00217AC9">
      <w:pPr>
        <w:pStyle w:val="TOC3"/>
        <w:tabs>
          <w:tab w:val="right" w:pos="9010"/>
        </w:tabs>
        <w:rPr>
          <w:rFonts w:eastAsiaTheme="minorEastAsia" w:cstheme="minorBidi"/>
          <w:smallCaps w:val="0"/>
          <w:noProof/>
          <w:sz w:val="24"/>
          <w:szCs w:val="24"/>
          <w:lang w:eastAsia="en-GB"/>
        </w:rPr>
      </w:pPr>
      <w:hyperlink w:anchor="_Toc47190641" w:history="1">
        <w:r w:rsidR="00562297" w:rsidRPr="00A61E23">
          <w:rPr>
            <w:rStyle w:val="Hyperlink"/>
            <w:noProof/>
          </w:rPr>
          <w:t>Will your initial reference line be affected from the upcoming IMO GHG committee No4 scheduled to take place September/October 2020?</w:t>
        </w:r>
        <w:r w:rsidR="00562297">
          <w:rPr>
            <w:noProof/>
            <w:webHidden/>
          </w:rPr>
          <w:tab/>
        </w:r>
        <w:r w:rsidR="00562297">
          <w:rPr>
            <w:noProof/>
            <w:webHidden/>
          </w:rPr>
          <w:fldChar w:fldCharType="begin"/>
        </w:r>
        <w:r w:rsidR="00562297">
          <w:rPr>
            <w:noProof/>
            <w:webHidden/>
          </w:rPr>
          <w:instrText xml:space="preserve"> PAGEREF _Toc47190641 \h </w:instrText>
        </w:r>
        <w:r w:rsidR="00562297">
          <w:rPr>
            <w:noProof/>
            <w:webHidden/>
          </w:rPr>
        </w:r>
        <w:r w:rsidR="00562297">
          <w:rPr>
            <w:noProof/>
            <w:webHidden/>
          </w:rPr>
          <w:fldChar w:fldCharType="separate"/>
        </w:r>
        <w:r w:rsidR="000951BD">
          <w:rPr>
            <w:noProof/>
            <w:webHidden/>
          </w:rPr>
          <w:t>6</w:t>
        </w:r>
        <w:r w:rsidR="00562297">
          <w:rPr>
            <w:noProof/>
            <w:webHidden/>
          </w:rPr>
          <w:fldChar w:fldCharType="end"/>
        </w:r>
      </w:hyperlink>
    </w:p>
    <w:p w14:paraId="203F40F2" w14:textId="26FBBEE4" w:rsidR="00562297" w:rsidRDefault="00562297">
      <w:pPr>
        <w:pStyle w:val="TOC2"/>
        <w:tabs>
          <w:tab w:val="right" w:pos="9010"/>
        </w:tabs>
        <w:rPr>
          <w:rFonts w:eastAsiaTheme="minorEastAsia" w:cstheme="minorBidi"/>
          <w:b w:val="0"/>
          <w:bCs w:val="0"/>
          <w:smallCaps w:val="0"/>
          <w:noProof/>
          <w:sz w:val="24"/>
          <w:szCs w:val="24"/>
          <w:lang w:eastAsia="en-GB"/>
        </w:rPr>
      </w:pPr>
      <w:r>
        <w:rPr>
          <w:rStyle w:val="Hyperlink"/>
          <w:noProof/>
        </w:rPr>
        <w:br/>
      </w:r>
      <w:hyperlink w:anchor="_Toc47190642" w:history="1">
        <w:r w:rsidRPr="00A61E23">
          <w:rPr>
            <w:rStyle w:val="Hyperlink"/>
            <w:rFonts w:eastAsia="Times New Roman"/>
            <w:noProof/>
            <w:lang w:eastAsia="en-GB"/>
          </w:rPr>
          <w:t>What are the requirements for Wind Turbine Installation Vessels (WTIVs)?</w:t>
        </w:r>
        <w:r>
          <w:rPr>
            <w:noProof/>
            <w:webHidden/>
          </w:rPr>
          <w:tab/>
        </w:r>
        <w:r>
          <w:rPr>
            <w:noProof/>
            <w:webHidden/>
          </w:rPr>
          <w:fldChar w:fldCharType="begin"/>
        </w:r>
        <w:r>
          <w:rPr>
            <w:noProof/>
            <w:webHidden/>
          </w:rPr>
          <w:instrText xml:space="preserve"> PAGEREF _Toc47190642 \h </w:instrText>
        </w:r>
        <w:r>
          <w:rPr>
            <w:noProof/>
            <w:webHidden/>
          </w:rPr>
        </w:r>
        <w:r>
          <w:rPr>
            <w:noProof/>
            <w:webHidden/>
          </w:rPr>
          <w:fldChar w:fldCharType="separate"/>
        </w:r>
        <w:r w:rsidR="000951BD">
          <w:rPr>
            <w:noProof/>
            <w:webHidden/>
          </w:rPr>
          <w:t>7</w:t>
        </w:r>
        <w:r>
          <w:rPr>
            <w:noProof/>
            <w:webHidden/>
          </w:rPr>
          <w:fldChar w:fldCharType="end"/>
        </w:r>
      </w:hyperlink>
    </w:p>
    <w:p w14:paraId="7ECE14C9" w14:textId="2EF13D0C" w:rsidR="00FF6767" w:rsidRDefault="00FF6767" w:rsidP="00AC6EA6">
      <w:pPr>
        <w:rPr>
          <w:rFonts w:cstheme="minorHAnsi"/>
          <w:sz w:val="22"/>
          <w:szCs w:val="22"/>
        </w:rPr>
      </w:pPr>
      <w:r>
        <w:rPr>
          <w:rFonts w:cstheme="minorHAnsi"/>
          <w:sz w:val="22"/>
          <w:szCs w:val="22"/>
        </w:rPr>
        <w:fldChar w:fldCharType="end"/>
      </w:r>
    </w:p>
    <w:p w14:paraId="77BFCA06" w14:textId="77777777" w:rsidR="00562297" w:rsidRPr="00AC6EA6" w:rsidRDefault="00562297" w:rsidP="00AC6EA6">
      <w:pPr>
        <w:rPr>
          <w:rFonts w:cstheme="minorHAnsi"/>
          <w:sz w:val="22"/>
          <w:szCs w:val="22"/>
        </w:rPr>
      </w:pPr>
    </w:p>
    <w:p w14:paraId="04F7EC9E" w14:textId="108512DF" w:rsidR="00C06718" w:rsidRPr="00CA2910" w:rsidRDefault="00C06718" w:rsidP="00AC6EA6">
      <w:pPr>
        <w:pStyle w:val="Heading2"/>
        <w:rPr>
          <w:b/>
          <w:bCs/>
        </w:rPr>
      </w:pPr>
      <w:bookmarkStart w:id="0" w:name="_Toc47190612"/>
      <w:r w:rsidRPr="00CA2910">
        <w:rPr>
          <w:b/>
          <w:bCs/>
        </w:rPr>
        <w:lastRenderedPageBreak/>
        <w:t>Questions on Scope:</w:t>
      </w:r>
      <w:bookmarkEnd w:id="0"/>
      <w:r w:rsidRPr="00CA2910">
        <w:rPr>
          <w:b/>
          <w:bCs/>
        </w:rPr>
        <w:t xml:space="preserve"> </w:t>
      </w:r>
    </w:p>
    <w:p w14:paraId="5C31B8D2" w14:textId="77777777" w:rsidR="00C06718" w:rsidRPr="00AC6EA6" w:rsidRDefault="00C06718" w:rsidP="00AC6EA6">
      <w:pPr>
        <w:rPr>
          <w:rFonts w:cstheme="minorHAnsi"/>
          <w:sz w:val="22"/>
          <w:szCs w:val="22"/>
        </w:rPr>
      </w:pPr>
    </w:p>
    <w:p w14:paraId="1C1B9EE4" w14:textId="38B69C36" w:rsidR="001214B7" w:rsidRPr="002C38F5" w:rsidRDefault="00467916" w:rsidP="002C38F5">
      <w:pPr>
        <w:pStyle w:val="Heading3"/>
        <w:rPr>
          <w:u w:val="single"/>
        </w:rPr>
      </w:pPr>
      <w:bookmarkStart w:id="1" w:name="_Toc47190613"/>
      <w:r w:rsidRPr="00CA2910">
        <w:rPr>
          <w:u w:val="single"/>
        </w:rPr>
        <w:t>Why are LNG and Crude Carriers excluded from these criteria?</w:t>
      </w:r>
      <w:bookmarkEnd w:id="1"/>
      <w:r w:rsidRPr="00CA2910">
        <w:rPr>
          <w:u w:val="single"/>
        </w:rPr>
        <w:t xml:space="preserve"> </w:t>
      </w:r>
    </w:p>
    <w:p w14:paraId="5E4DA2E1" w14:textId="77777777" w:rsidR="001214B7" w:rsidRDefault="001214B7" w:rsidP="00AC6EA6">
      <w:pPr>
        <w:rPr>
          <w:rFonts w:cstheme="minorHAnsi"/>
          <w:sz w:val="22"/>
          <w:szCs w:val="22"/>
        </w:rPr>
      </w:pPr>
      <w:r>
        <w:rPr>
          <w:rFonts w:cstheme="minorHAnsi"/>
          <w:sz w:val="22"/>
          <w:szCs w:val="22"/>
        </w:rPr>
        <w:t xml:space="preserve">We recognise that LNG vessels and crude carriers represent a significant portion of the world’s fleet, excluding them from Certification is a missed opportunity to transition this sector. </w:t>
      </w:r>
    </w:p>
    <w:p w14:paraId="20FEDD76" w14:textId="77777777" w:rsidR="001214B7" w:rsidRDefault="001214B7" w:rsidP="00AC6EA6">
      <w:pPr>
        <w:rPr>
          <w:rFonts w:cstheme="minorHAnsi"/>
          <w:sz w:val="22"/>
          <w:szCs w:val="22"/>
        </w:rPr>
      </w:pPr>
    </w:p>
    <w:p w14:paraId="32AD6D10" w14:textId="223DA032" w:rsidR="00467916" w:rsidRPr="00AC6EA6" w:rsidRDefault="001214B7" w:rsidP="00AC6EA6">
      <w:pPr>
        <w:rPr>
          <w:rFonts w:cstheme="minorHAnsi"/>
          <w:sz w:val="22"/>
          <w:szCs w:val="22"/>
        </w:rPr>
      </w:pPr>
      <w:r>
        <w:rPr>
          <w:rFonts w:cstheme="minorHAnsi"/>
          <w:sz w:val="22"/>
          <w:szCs w:val="22"/>
        </w:rPr>
        <w:t>However, t</w:t>
      </w:r>
      <w:r w:rsidR="00467916" w:rsidRPr="00AC6EA6">
        <w:rPr>
          <w:rFonts w:cstheme="minorHAnsi"/>
          <w:sz w:val="22"/>
          <w:szCs w:val="22"/>
        </w:rPr>
        <w:t xml:space="preserve">he CBI Standard and Certification scheme is designed to provide a binary label on what assets are (or are not) aligned with the Paris Agreement. </w:t>
      </w:r>
      <w:r>
        <w:rPr>
          <w:rFonts w:cstheme="minorHAnsi"/>
          <w:sz w:val="22"/>
          <w:szCs w:val="22"/>
        </w:rPr>
        <w:t xml:space="preserve">Such assets are simply not aligned with the Paris Agreement. </w:t>
      </w:r>
      <w:r w:rsidR="00467916" w:rsidRPr="00AC6EA6">
        <w:rPr>
          <w:rFonts w:cstheme="minorHAnsi"/>
          <w:sz w:val="22"/>
          <w:szCs w:val="22"/>
        </w:rPr>
        <w:tab/>
      </w:r>
    </w:p>
    <w:p w14:paraId="562F588F" w14:textId="2731EF35" w:rsidR="00467916" w:rsidRPr="00AC6EA6" w:rsidRDefault="00467916" w:rsidP="00AC6EA6">
      <w:pPr>
        <w:rPr>
          <w:rFonts w:cstheme="minorHAnsi"/>
          <w:sz w:val="22"/>
          <w:szCs w:val="22"/>
        </w:rPr>
      </w:pPr>
    </w:p>
    <w:p w14:paraId="08462837" w14:textId="1E07861F" w:rsidR="00467916" w:rsidRPr="00AC6EA6" w:rsidRDefault="00C06718" w:rsidP="00AC6EA6">
      <w:pPr>
        <w:rPr>
          <w:rFonts w:cstheme="minorHAnsi"/>
          <w:sz w:val="22"/>
          <w:szCs w:val="22"/>
        </w:rPr>
      </w:pPr>
      <w:r w:rsidRPr="00AC6EA6">
        <w:rPr>
          <w:rFonts w:cstheme="minorHAnsi"/>
          <w:sz w:val="22"/>
          <w:szCs w:val="22"/>
        </w:rPr>
        <w:t>CBI has a blanket ban on assets and activities that are dedicated to supporting the fossil fuel sector.</w:t>
      </w:r>
      <w:r w:rsidR="00562297">
        <w:rPr>
          <w:rFonts w:cstheme="minorHAnsi"/>
          <w:sz w:val="22"/>
          <w:szCs w:val="22"/>
        </w:rPr>
        <w:t xml:space="preserve"> </w:t>
      </w:r>
      <w:r w:rsidR="00467916" w:rsidRPr="00AC6EA6">
        <w:rPr>
          <w:rFonts w:cstheme="minorHAnsi"/>
          <w:sz w:val="22"/>
          <w:szCs w:val="22"/>
        </w:rPr>
        <w:t xml:space="preserve">Currently, dedicated fossil fuel carrying vessels are excluded because such assets do not provide a substantial contribution to </w:t>
      </w:r>
      <w:r w:rsidR="004B2542" w:rsidRPr="00AC6EA6">
        <w:rPr>
          <w:rFonts w:cstheme="minorHAnsi"/>
          <w:sz w:val="22"/>
          <w:szCs w:val="22"/>
        </w:rPr>
        <w:t xml:space="preserve">the </w:t>
      </w:r>
      <w:r w:rsidR="00467916" w:rsidRPr="00AC6EA6">
        <w:rPr>
          <w:rFonts w:cstheme="minorHAnsi"/>
          <w:sz w:val="22"/>
          <w:szCs w:val="22"/>
        </w:rPr>
        <w:t xml:space="preserve">Paris Agreement. </w:t>
      </w:r>
      <w:r w:rsidR="004B2542" w:rsidRPr="00AC6EA6">
        <w:rPr>
          <w:rFonts w:cstheme="minorHAnsi"/>
          <w:sz w:val="22"/>
          <w:szCs w:val="22"/>
        </w:rPr>
        <w:br/>
      </w:r>
      <w:r w:rsidR="004B2542" w:rsidRPr="00AC6EA6">
        <w:rPr>
          <w:rFonts w:cstheme="minorHAnsi"/>
          <w:sz w:val="22"/>
          <w:szCs w:val="22"/>
        </w:rPr>
        <w:br/>
        <w:t xml:space="preserve">The criteria are reviewed biennially, this exclusion can be reviewed if there is evidence that such assets can also be used to support activities that are aligned with the Paris Agreement. </w:t>
      </w:r>
    </w:p>
    <w:p w14:paraId="2C6212EF" w14:textId="32E27218" w:rsidR="000951BD" w:rsidRPr="000951BD" w:rsidRDefault="00053DB5" w:rsidP="00AC6EA6">
      <w:pPr>
        <w:rPr>
          <w:rFonts w:cstheme="minorHAnsi"/>
          <w:sz w:val="22"/>
          <w:szCs w:val="22"/>
        </w:rPr>
      </w:pPr>
      <w:r w:rsidRPr="00AC6EA6">
        <w:rPr>
          <w:rFonts w:cstheme="minorHAnsi"/>
          <w:sz w:val="22"/>
          <w:szCs w:val="22"/>
        </w:rPr>
        <w:br/>
      </w:r>
      <w:bookmarkStart w:id="2" w:name="_Toc47190614"/>
      <w:r w:rsidR="00467916" w:rsidRPr="00CA2910">
        <w:rPr>
          <w:rStyle w:val="Heading3Char"/>
          <w:u w:val="single"/>
        </w:rPr>
        <w:t>But dry bulk carriers can be used for coal, so why are these allowed?</w:t>
      </w:r>
      <w:bookmarkEnd w:id="2"/>
      <w:r w:rsidR="00467916" w:rsidRPr="00CA2910">
        <w:rPr>
          <w:rFonts w:cstheme="minorHAnsi"/>
          <w:sz w:val="22"/>
          <w:szCs w:val="22"/>
          <w:u w:val="single"/>
        </w:rPr>
        <w:t xml:space="preserve"> </w:t>
      </w:r>
      <w:r w:rsidR="00EE30B8" w:rsidRPr="00AC6EA6">
        <w:rPr>
          <w:rFonts w:eastAsia="MS Gothic" w:cstheme="minorHAnsi"/>
          <w:sz w:val="22"/>
          <w:szCs w:val="22"/>
        </w:rPr>
        <w:br/>
      </w:r>
      <w:r w:rsidR="000951BD" w:rsidRPr="000951BD">
        <w:rPr>
          <w:rFonts w:cstheme="minorHAnsi"/>
          <w:sz w:val="22"/>
          <w:szCs w:val="22"/>
        </w:rPr>
        <w:t xml:space="preserve">Dry bulk carriers are eligible for </w:t>
      </w:r>
      <w:proofErr w:type="gramStart"/>
      <w:r w:rsidR="000951BD" w:rsidRPr="000951BD">
        <w:rPr>
          <w:rFonts w:cstheme="minorHAnsi"/>
          <w:sz w:val="22"/>
          <w:szCs w:val="22"/>
        </w:rPr>
        <w:t>certification,</w:t>
      </w:r>
      <w:proofErr w:type="gramEnd"/>
      <w:r w:rsidR="000951BD" w:rsidRPr="000951BD">
        <w:rPr>
          <w:rFonts w:cstheme="minorHAnsi"/>
          <w:sz w:val="22"/>
          <w:szCs w:val="22"/>
        </w:rPr>
        <w:t xml:space="preserve"> however, we recognise that there is a risk that a borrower might use the proceeds to finance a vessel which may be used to transport coal. As such the criteria require that, f</w:t>
      </w:r>
      <w:r w:rsidR="000951BD" w:rsidRPr="000951BD">
        <w:rPr>
          <w:rFonts w:cstheme="minorHAnsi"/>
          <w:sz w:val="22"/>
          <w:szCs w:val="22"/>
        </w:rPr>
        <w:t>or bonds where proceeds will be used for dry bulk carriers, issuers must show that (a) coal did not constitute more than 25% of dry bulk by tons carried by the firm over the previous 3 years, based on the bills of lading, and (b) coal does not constitute more than 25% of dry bulk carried by the asset and the firm during the lifetime of the bond, reported annually and based on the bills lading.</w:t>
      </w:r>
      <w:r w:rsidR="000951BD" w:rsidRPr="000951BD">
        <w:rPr>
          <w:rFonts w:cstheme="minorHAnsi"/>
          <w:sz w:val="22"/>
          <w:szCs w:val="22"/>
        </w:rPr>
        <w:tab/>
        <w:t xml:space="preserve">  </w:t>
      </w:r>
    </w:p>
    <w:p w14:paraId="631831B4" w14:textId="77777777" w:rsidR="000951BD" w:rsidRPr="000951BD" w:rsidRDefault="000951BD" w:rsidP="00AC6EA6">
      <w:pPr>
        <w:rPr>
          <w:rFonts w:cstheme="minorHAnsi"/>
          <w:sz w:val="22"/>
          <w:szCs w:val="22"/>
        </w:rPr>
      </w:pPr>
    </w:p>
    <w:p w14:paraId="61301403" w14:textId="77777777" w:rsidR="000951BD" w:rsidRPr="000951BD" w:rsidRDefault="000951BD" w:rsidP="000951BD">
      <w:pPr>
        <w:rPr>
          <w:rFonts w:cstheme="minorHAnsi"/>
          <w:sz w:val="22"/>
          <w:szCs w:val="22"/>
        </w:rPr>
      </w:pPr>
      <w:r w:rsidRPr="000951BD">
        <w:rPr>
          <w:rFonts w:cstheme="minorHAnsi"/>
          <w:sz w:val="22"/>
          <w:szCs w:val="22"/>
        </w:rPr>
        <w:t xml:space="preserve">A </w:t>
      </w:r>
      <w:r w:rsidR="00BF1846" w:rsidRPr="000951BD">
        <w:rPr>
          <w:rFonts w:cstheme="minorHAnsi"/>
          <w:sz w:val="22"/>
          <w:szCs w:val="22"/>
        </w:rPr>
        <w:t>fundamental principle of the Climate Bonds Standard is to avoid lock-in of carbon-intensive investments</w:t>
      </w:r>
      <w:r w:rsidR="004B2542" w:rsidRPr="000951BD">
        <w:rPr>
          <w:rFonts w:cstheme="minorHAnsi"/>
          <w:sz w:val="22"/>
          <w:szCs w:val="22"/>
        </w:rPr>
        <w:t>, t</w:t>
      </w:r>
      <w:r w:rsidR="00BF1846" w:rsidRPr="000951BD">
        <w:rPr>
          <w:rFonts w:cstheme="minorHAnsi"/>
          <w:sz w:val="22"/>
          <w:szCs w:val="22"/>
        </w:rPr>
        <w:t xml:space="preserve">he right types of investments are required </w:t>
      </w:r>
      <w:r w:rsidR="004B2542" w:rsidRPr="000951BD">
        <w:rPr>
          <w:rFonts w:cstheme="minorHAnsi"/>
          <w:sz w:val="22"/>
          <w:szCs w:val="22"/>
        </w:rPr>
        <w:t xml:space="preserve">today </w:t>
      </w:r>
      <w:r w:rsidR="00BF1846" w:rsidRPr="000951BD">
        <w:rPr>
          <w:rFonts w:cstheme="minorHAnsi"/>
          <w:sz w:val="22"/>
          <w:szCs w:val="22"/>
        </w:rPr>
        <w:t xml:space="preserve">to facilitate deeper cuts </w:t>
      </w:r>
      <w:r w:rsidR="004B2542" w:rsidRPr="000951BD">
        <w:rPr>
          <w:rFonts w:cstheme="minorHAnsi"/>
          <w:sz w:val="22"/>
          <w:szCs w:val="22"/>
        </w:rPr>
        <w:t>tomorrow</w:t>
      </w:r>
      <w:r w:rsidR="00BF1846" w:rsidRPr="000951BD">
        <w:rPr>
          <w:rFonts w:cstheme="minorHAnsi"/>
          <w:sz w:val="22"/>
          <w:szCs w:val="22"/>
        </w:rPr>
        <w:t>.</w:t>
      </w:r>
      <w:r w:rsidR="00562297" w:rsidRPr="000951BD">
        <w:rPr>
          <w:rFonts w:cstheme="minorHAnsi"/>
          <w:sz w:val="22"/>
          <w:szCs w:val="22"/>
        </w:rPr>
        <w:t xml:space="preserve"> </w:t>
      </w:r>
      <w:r w:rsidR="00BF1846" w:rsidRPr="000951BD">
        <w:rPr>
          <w:rFonts w:cstheme="minorHAnsi"/>
          <w:sz w:val="22"/>
          <w:szCs w:val="22"/>
        </w:rPr>
        <w:t xml:space="preserve">This means </w:t>
      </w:r>
      <w:r w:rsidR="004B2542" w:rsidRPr="000951BD">
        <w:rPr>
          <w:rFonts w:cstheme="minorHAnsi"/>
          <w:sz w:val="22"/>
          <w:szCs w:val="22"/>
        </w:rPr>
        <w:t xml:space="preserve">recognising </w:t>
      </w:r>
      <w:r w:rsidR="00BF1846" w:rsidRPr="000951BD">
        <w:rPr>
          <w:rFonts w:cstheme="minorHAnsi"/>
          <w:sz w:val="22"/>
          <w:szCs w:val="22"/>
        </w:rPr>
        <w:t>incremental reductions in carbon emissions</w:t>
      </w:r>
      <w:r w:rsidR="004B2542" w:rsidRPr="000951BD">
        <w:rPr>
          <w:rFonts w:cstheme="minorHAnsi"/>
          <w:sz w:val="22"/>
          <w:szCs w:val="22"/>
        </w:rPr>
        <w:t xml:space="preserve"> while also</w:t>
      </w:r>
      <w:r w:rsidR="00BF1846" w:rsidRPr="000951BD">
        <w:rPr>
          <w:rFonts w:cstheme="minorHAnsi"/>
          <w:sz w:val="22"/>
          <w:szCs w:val="22"/>
        </w:rPr>
        <w:t xml:space="preserve"> taking a long-term strategic view</w:t>
      </w:r>
      <w:r w:rsidR="00B20BC2" w:rsidRPr="000951BD">
        <w:rPr>
          <w:rFonts w:cstheme="minorHAnsi"/>
          <w:sz w:val="22"/>
          <w:szCs w:val="22"/>
        </w:rPr>
        <w:t xml:space="preserve"> while doing so. </w:t>
      </w:r>
      <w:r w:rsidR="00182961" w:rsidRPr="000951BD">
        <w:rPr>
          <w:rFonts w:cstheme="minorHAnsi"/>
          <w:sz w:val="22"/>
          <w:szCs w:val="22"/>
        </w:rPr>
        <w:t xml:space="preserve"> </w:t>
      </w:r>
      <w:r w:rsidRPr="00AC6EA6">
        <w:rPr>
          <w:rFonts w:cstheme="minorHAnsi"/>
          <w:sz w:val="22"/>
          <w:szCs w:val="22"/>
        </w:rPr>
        <w:t xml:space="preserve">Excluding this asset class completely would have severely limited the applicability of our criteria. </w:t>
      </w:r>
    </w:p>
    <w:p w14:paraId="238595B2" w14:textId="018C8C8B" w:rsidR="00B20BC2" w:rsidRPr="00AC6EA6" w:rsidRDefault="00B20BC2" w:rsidP="00AC6EA6">
      <w:pPr>
        <w:rPr>
          <w:rFonts w:cstheme="minorHAnsi"/>
          <w:sz w:val="22"/>
          <w:szCs w:val="22"/>
        </w:rPr>
      </w:pPr>
    </w:p>
    <w:p w14:paraId="6D31980D" w14:textId="390EDBC5" w:rsidR="00B20BC2" w:rsidRPr="00CA2910" w:rsidRDefault="004B2542" w:rsidP="00AC6EA6">
      <w:pPr>
        <w:pStyle w:val="Heading3"/>
        <w:rPr>
          <w:rFonts w:eastAsia="MS Gothic"/>
          <w:u w:val="single"/>
        </w:rPr>
      </w:pPr>
      <w:bookmarkStart w:id="3" w:name="_Toc47190615"/>
      <w:r w:rsidRPr="00CA2910">
        <w:rPr>
          <w:u w:val="single"/>
        </w:rPr>
        <w:t>What about LPG Vessels?</w:t>
      </w:r>
      <w:bookmarkEnd w:id="3"/>
    </w:p>
    <w:p w14:paraId="22A32289" w14:textId="6D8396FC" w:rsidR="00B20BC2" w:rsidRPr="00AC6EA6" w:rsidRDefault="004B2542" w:rsidP="00AC6EA6">
      <w:pPr>
        <w:rPr>
          <w:rFonts w:cstheme="minorHAnsi"/>
          <w:sz w:val="22"/>
          <w:szCs w:val="22"/>
        </w:rPr>
      </w:pPr>
      <w:r w:rsidRPr="00AC6EA6">
        <w:rPr>
          <w:rFonts w:cstheme="minorHAnsi"/>
          <w:sz w:val="22"/>
          <w:szCs w:val="22"/>
        </w:rPr>
        <w:t xml:space="preserve">LPG Vessels are currently included within scope because they can also </w:t>
      </w:r>
      <w:r w:rsidR="00B20BC2" w:rsidRPr="00AC6EA6">
        <w:rPr>
          <w:rFonts w:cstheme="minorHAnsi"/>
          <w:sz w:val="22"/>
          <w:szCs w:val="22"/>
        </w:rPr>
        <w:t xml:space="preserve">ammonia, which will be an important fuel for decarbonisation. </w:t>
      </w:r>
    </w:p>
    <w:p w14:paraId="261A9E5D" w14:textId="77777777" w:rsidR="004B2542" w:rsidRPr="00AC6EA6" w:rsidRDefault="004B2542" w:rsidP="00AC6EA6">
      <w:pPr>
        <w:rPr>
          <w:rFonts w:cstheme="minorHAnsi"/>
          <w:sz w:val="22"/>
          <w:szCs w:val="22"/>
        </w:rPr>
      </w:pPr>
    </w:p>
    <w:p w14:paraId="78CA7A51" w14:textId="374E704A" w:rsidR="00C06718" w:rsidRPr="00AC6EA6" w:rsidRDefault="004B2542" w:rsidP="00AC6EA6">
      <w:pPr>
        <w:rPr>
          <w:rFonts w:cstheme="minorHAnsi"/>
          <w:sz w:val="22"/>
          <w:szCs w:val="22"/>
        </w:rPr>
      </w:pPr>
      <w:r w:rsidRPr="00AC6EA6">
        <w:rPr>
          <w:rFonts w:cstheme="minorHAnsi"/>
          <w:sz w:val="22"/>
          <w:szCs w:val="22"/>
        </w:rPr>
        <w:t>While</w:t>
      </w:r>
      <w:r w:rsidR="00B20BC2" w:rsidRPr="00AC6EA6">
        <w:rPr>
          <w:rFonts w:cstheme="minorHAnsi"/>
          <w:sz w:val="22"/>
          <w:szCs w:val="22"/>
        </w:rPr>
        <w:t xml:space="preserve"> the more valuable and more highly traded volumes are </w:t>
      </w:r>
      <w:r w:rsidR="00DD17F4" w:rsidRPr="00AC6EA6">
        <w:rPr>
          <w:rFonts w:cstheme="minorHAnsi"/>
          <w:sz w:val="22"/>
          <w:szCs w:val="22"/>
        </w:rPr>
        <w:t xml:space="preserve">currently </w:t>
      </w:r>
      <w:r w:rsidR="00B20BC2" w:rsidRPr="00AC6EA6">
        <w:rPr>
          <w:rFonts w:cstheme="minorHAnsi"/>
          <w:sz w:val="22"/>
          <w:szCs w:val="22"/>
        </w:rPr>
        <w:t xml:space="preserve">for LPG, </w:t>
      </w:r>
      <w:r w:rsidRPr="00AC6EA6">
        <w:rPr>
          <w:rFonts w:cstheme="minorHAnsi"/>
          <w:sz w:val="22"/>
          <w:szCs w:val="22"/>
        </w:rPr>
        <w:t>t</w:t>
      </w:r>
      <w:r w:rsidR="00B20BC2" w:rsidRPr="00AC6EA6">
        <w:rPr>
          <w:rFonts w:cstheme="minorHAnsi"/>
          <w:sz w:val="22"/>
          <w:szCs w:val="22"/>
        </w:rPr>
        <w:t xml:space="preserve">he assets </w:t>
      </w:r>
      <w:r w:rsidRPr="00AC6EA6">
        <w:rPr>
          <w:rFonts w:cstheme="minorHAnsi"/>
          <w:sz w:val="22"/>
          <w:szCs w:val="22"/>
        </w:rPr>
        <w:t xml:space="preserve">can be </w:t>
      </w:r>
      <w:r w:rsidR="00B20BC2" w:rsidRPr="00AC6EA6">
        <w:rPr>
          <w:rFonts w:cstheme="minorHAnsi"/>
          <w:sz w:val="22"/>
          <w:szCs w:val="22"/>
        </w:rPr>
        <w:t>re-assigned to ammonia later in life</w:t>
      </w:r>
      <w:r w:rsidR="00DD17F4" w:rsidRPr="00AC6EA6">
        <w:rPr>
          <w:rFonts w:cstheme="minorHAnsi"/>
          <w:sz w:val="22"/>
          <w:szCs w:val="22"/>
        </w:rPr>
        <w:t xml:space="preserve"> and so these assets</w:t>
      </w:r>
      <w:r w:rsidRPr="00AC6EA6">
        <w:rPr>
          <w:rFonts w:cstheme="minorHAnsi"/>
          <w:sz w:val="22"/>
          <w:szCs w:val="22"/>
        </w:rPr>
        <w:t xml:space="preserve"> will</w:t>
      </w:r>
      <w:r w:rsidR="00DD17F4" w:rsidRPr="00AC6EA6">
        <w:rPr>
          <w:rFonts w:cstheme="minorHAnsi"/>
          <w:sz w:val="22"/>
          <w:szCs w:val="22"/>
        </w:rPr>
        <w:t xml:space="preserve"> have an important role to play in enabling future global ammonia supply chains</w:t>
      </w:r>
      <w:r w:rsidR="00B20BC2" w:rsidRPr="00AC6EA6">
        <w:rPr>
          <w:rFonts w:cstheme="minorHAnsi"/>
          <w:sz w:val="22"/>
          <w:szCs w:val="22"/>
        </w:rPr>
        <w:t xml:space="preserve">. </w:t>
      </w:r>
    </w:p>
    <w:p w14:paraId="60EAD37C" w14:textId="77777777" w:rsidR="00CA2910" w:rsidRPr="00AC6EA6" w:rsidRDefault="00CA2910" w:rsidP="00AC6EA6">
      <w:pPr>
        <w:rPr>
          <w:rFonts w:cstheme="minorHAnsi"/>
          <w:sz w:val="22"/>
          <w:szCs w:val="22"/>
        </w:rPr>
      </w:pPr>
    </w:p>
    <w:p w14:paraId="455CE77A" w14:textId="71FE740E" w:rsidR="00C06718" w:rsidRPr="00CA2910" w:rsidRDefault="001214B7" w:rsidP="00CA2910">
      <w:pPr>
        <w:pStyle w:val="Heading3"/>
        <w:rPr>
          <w:u w:val="single"/>
        </w:rPr>
      </w:pPr>
      <w:bookmarkStart w:id="4" w:name="_Toc47190616"/>
      <w:r>
        <w:rPr>
          <w:u w:val="single"/>
        </w:rPr>
        <w:t>What about support</w:t>
      </w:r>
      <w:r w:rsidR="003B68B0">
        <w:rPr>
          <w:u w:val="single"/>
        </w:rPr>
        <w:t>ing</w:t>
      </w:r>
      <w:r>
        <w:rPr>
          <w:u w:val="single"/>
        </w:rPr>
        <w:t xml:space="preserve"> infrastructure on</w:t>
      </w:r>
      <w:r w:rsidR="00C06718" w:rsidRPr="00CA2910">
        <w:rPr>
          <w:u w:val="single"/>
        </w:rPr>
        <w:t xml:space="preserve"> ports</w:t>
      </w:r>
      <w:r>
        <w:rPr>
          <w:u w:val="single"/>
        </w:rPr>
        <w:t>?</w:t>
      </w:r>
      <w:r w:rsidR="00C06718" w:rsidRPr="00CA2910">
        <w:rPr>
          <w:u w:val="single"/>
        </w:rPr>
        <w:t xml:space="preserve"> Are these assets eligible for Certification?</w:t>
      </w:r>
      <w:bookmarkEnd w:id="4"/>
    </w:p>
    <w:p w14:paraId="7F45AE72" w14:textId="210A877A" w:rsidR="001214B7" w:rsidRPr="00AC6EA6" w:rsidRDefault="00C06718" w:rsidP="00AC6EA6">
      <w:pPr>
        <w:rPr>
          <w:rFonts w:cstheme="minorHAnsi"/>
          <w:sz w:val="22"/>
          <w:szCs w:val="22"/>
        </w:rPr>
      </w:pPr>
      <w:r w:rsidRPr="00AC6EA6">
        <w:rPr>
          <w:rFonts w:cstheme="minorHAnsi"/>
          <w:sz w:val="22"/>
          <w:szCs w:val="22"/>
        </w:rPr>
        <w:t>Currently we have limited the scope of the shipping criteria to ships that are compliant with the threshold</w:t>
      </w:r>
      <w:r w:rsidR="00AA4FB9" w:rsidRPr="00AC6EA6">
        <w:rPr>
          <w:rFonts w:cstheme="minorHAnsi"/>
          <w:sz w:val="22"/>
          <w:szCs w:val="22"/>
        </w:rPr>
        <w:t>,</w:t>
      </w:r>
      <w:r w:rsidR="003B68B0">
        <w:rPr>
          <w:rFonts w:cstheme="minorHAnsi"/>
          <w:sz w:val="22"/>
          <w:szCs w:val="22"/>
        </w:rPr>
        <w:t xml:space="preserve"> as well as </w:t>
      </w:r>
      <w:r w:rsidRPr="00AC6EA6">
        <w:rPr>
          <w:rFonts w:cstheme="minorHAnsi"/>
          <w:sz w:val="22"/>
          <w:szCs w:val="22"/>
        </w:rPr>
        <w:t>assets which are dedicated to supporting zero-emissions ships</w:t>
      </w:r>
      <w:r w:rsidR="003B68B0">
        <w:rPr>
          <w:rFonts w:cstheme="minorHAnsi"/>
          <w:sz w:val="22"/>
          <w:szCs w:val="22"/>
        </w:rPr>
        <w:t xml:space="preserve">. </w:t>
      </w:r>
      <w:r w:rsidR="001214B7">
        <w:rPr>
          <w:rFonts w:cstheme="minorHAnsi"/>
          <w:sz w:val="22"/>
          <w:szCs w:val="22"/>
        </w:rPr>
        <w:t xml:space="preserve">Investments into port infrastructure, such as electric cranes and vehicles for managing cargo will be reviewed as we widen the scope of the CBI Taxonomy. </w:t>
      </w:r>
    </w:p>
    <w:p w14:paraId="39AF133E" w14:textId="0E5DDF9C" w:rsidR="00AC6EA6" w:rsidRDefault="00AC6EA6" w:rsidP="00AC6EA6">
      <w:pPr>
        <w:rPr>
          <w:rFonts w:cstheme="minorHAnsi"/>
          <w:sz w:val="22"/>
          <w:szCs w:val="22"/>
        </w:rPr>
      </w:pPr>
    </w:p>
    <w:p w14:paraId="480703C7" w14:textId="77777777" w:rsidR="00AC6EA6" w:rsidRPr="007E11EB" w:rsidRDefault="00AC6EA6" w:rsidP="00AC6EA6">
      <w:pPr>
        <w:pStyle w:val="Heading3"/>
        <w:rPr>
          <w:rFonts w:eastAsia="MS Gothic"/>
        </w:rPr>
      </w:pPr>
      <w:bookmarkStart w:id="5" w:name="_Toc47190617"/>
      <w:r w:rsidRPr="00CA2910">
        <w:rPr>
          <w:u w:val="single"/>
        </w:rPr>
        <w:t>Are Cruise Ships allowed?</w:t>
      </w:r>
      <w:r w:rsidRPr="007E11EB">
        <w:rPr>
          <w:rFonts w:ascii="MS Gothic" w:eastAsia="MS Gothic" w:hAnsi="MS Gothic" w:cs="MS Gothic" w:hint="eastAsia"/>
        </w:rPr>
        <w:t> </w:t>
      </w:r>
      <w:bookmarkEnd w:id="5"/>
    </w:p>
    <w:p w14:paraId="5BA8CC85" w14:textId="2BFC1E66" w:rsidR="004B2542" w:rsidRDefault="00AC6EA6" w:rsidP="00AC6EA6">
      <w:pPr>
        <w:rPr>
          <w:rFonts w:cstheme="minorHAnsi"/>
          <w:sz w:val="22"/>
          <w:szCs w:val="22"/>
        </w:rPr>
      </w:pPr>
      <w:proofErr w:type="gramStart"/>
      <w:r w:rsidRPr="007E11EB">
        <w:rPr>
          <w:rFonts w:cstheme="minorHAnsi"/>
          <w:sz w:val="22"/>
          <w:szCs w:val="22"/>
        </w:rPr>
        <w:t>Yes</w:t>
      </w:r>
      <w:proofErr w:type="gramEnd"/>
      <w:r w:rsidRPr="007E11EB">
        <w:rPr>
          <w:rFonts w:cstheme="minorHAnsi"/>
          <w:sz w:val="22"/>
          <w:szCs w:val="22"/>
        </w:rPr>
        <w:t xml:space="preserve"> cruise ships are eligible.  A cruise ship, and other types of passenger ships can be considered aligned with the climate trajectory, provided they meet the</w:t>
      </w:r>
      <w:r w:rsidR="003B68B0">
        <w:rPr>
          <w:rFonts w:cstheme="minorHAnsi"/>
          <w:sz w:val="22"/>
          <w:szCs w:val="22"/>
        </w:rPr>
        <w:t xml:space="preserve"> respective</w:t>
      </w:r>
      <w:r w:rsidRPr="007E11EB">
        <w:rPr>
          <w:rFonts w:cstheme="minorHAnsi"/>
          <w:sz w:val="22"/>
          <w:szCs w:val="22"/>
        </w:rPr>
        <w:t xml:space="preserve"> criteria. </w:t>
      </w:r>
    </w:p>
    <w:p w14:paraId="0227090C" w14:textId="77777777" w:rsidR="00C400BC" w:rsidRPr="00C400BC" w:rsidRDefault="00C400BC" w:rsidP="00AC6EA6">
      <w:pPr>
        <w:rPr>
          <w:rFonts w:eastAsia="MS Gothic" w:cstheme="minorHAnsi"/>
          <w:sz w:val="22"/>
          <w:szCs w:val="22"/>
        </w:rPr>
      </w:pPr>
    </w:p>
    <w:p w14:paraId="623DF81E" w14:textId="12A59D15" w:rsidR="00CA2910" w:rsidRDefault="003B68B0" w:rsidP="00CA2910">
      <w:pPr>
        <w:pStyle w:val="Heading3"/>
        <w:rPr>
          <w:u w:val="single"/>
        </w:rPr>
      </w:pPr>
      <w:bookmarkStart w:id="6" w:name="_Toc47190618"/>
      <w:r>
        <w:rPr>
          <w:u w:val="single"/>
        </w:rPr>
        <w:lastRenderedPageBreak/>
        <w:t xml:space="preserve">Is the financing of retrofits to vessels </w:t>
      </w:r>
      <w:r w:rsidR="00B20BC2" w:rsidRPr="00CA2910">
        <w:rPr>
          <w:u w:val="single"/>
        </w:rPr>
        <w:t>eligible?</w:t>
      </w:r>
      <w:bookmarkEnd w:id="6"/>
    </w:p>
    <w:p w14:paraId="38003C43" w14:textId="27E4F023" w:rsidR="00B20BC2" w:rsidRDefault="00B20BC2" w:rsidP="00FF6767">
      <w:pPr>
        <w:pStyle w:val="NoSpacing"/>
        <w:rPr>
          <w:rFonts w:cstheme="minorHAnsi"/>
          <w:sz w:val="22"/>
          <w:szCs w:val="22"/>
        </w:rPr>
      </w:pPr>
      <w:r w:rsidRPr="00FF6767">
        <w:rPr>
          <w:rFonts w:cstheme="minorHAnsi"/>
          <w:sz w:val="22"/>
          <w:szCs w:val="22"/>
        </w:rPr>
        <w:t>Yes, retrofits</w:t>
      </w:r>
      <w:r w:rsidR="00C06718" w:rsidRPr="00FF6767">
        <w:rPr>
          <w:rFonts w:cstheme="minorHAnsi"/>
          <w:sz w:val="22"/>
          <w:szCs w:val="22"/>
        </w:rPr>
        <w:t xml:space="preserve"> (and programmes of retrofits)</w:t>
      </w:r>
      <w:r w:rsidRPr="00FF6767">
        <w:rPr>
          <w:rFonts w:cstheme="minorHAnsi"/>
          <w:sz w:val="22"/>
          <w:szCs w:val="22"/>
        </w:rPr>
        <w:t xml:space="preserve"> are eligible</w:t>
      </w:r>
      <w:r w:rsidR="003B68B0">
        <w:rPr>
          <w:rFonts w:cstheme="minorHAnsi"/>
          <w:sz w:val="22"/>
          <w:szCs w:val="22"/>
        </w:rPr>
        <w:t xml:space="preserve">, provided that the </w:t>
      </w:r>
      <w:r w:rsidR="00DD17F4" w:rsidRPr="00FF6767">
        <w:rPr>
          <w:rFonts w:cstheme="minorHAnsi"/>
          <w:sz w:val="22"/>
          <w:szCs w:val="22"/>
        </w:rPr>
        <w:t xml:space="preserve">asset </w:t>
      </w:r>
      <w:r w:rsidR="000951BD">
        <w:rPr>
          <w:rFonts w:cstheme="minorHAnsi"/>
          <w:sz w:val="22"/>
          <w:szCs w:val="22"/>
        </w:rPr>
        <w:t xml:space="preserve">meets </w:t>
      </w:r>
      <w:r w:rsidR="00C06718" w:rsidRPr="00FF6767">
        <w:rPr>
          <w:rFonts w:cstheme="minorHAnsi"/>
          <w:sz w:val="22"/>
          <w:szCs w:val="22"/>
        </w:rPr>
        <w:t xml:space="preserve">the criteria </w:t>
      </w:r>
      <w:r w:rsidR="00DD17F4" w:rsidRPr="00FF6767">
        <w:rPr>
          <w:rFonts w:cstheme="minorHAnsi"/>
          <w:sz w:val="22"/>
          <w:szCs w:val="22"/>
        </w:rPr>
        <w:t>(e.g. not for ships which are dedicated to the carriage of fossil fuels)</w:t>
      </w:r>
      <w:r w:rsidR="00C06718" w:rsidRPr="00FF6767">
        <w:rPr>
          <w:rFonts w:cstheme="minorHAnsi"/>
          <w:sz w:val="22"/>
          <w:szCs w:val="22"/>
        </w:rPr>
        <w:t xml:space="preserve">. </w:t>
      </w:r>
    </w:p>
    <w:p w14:paraId="36023226" w14:textId="77777777" w:rsidR="000951BD" w:rsidRPr="00FF6767" w:rsidRDefault="000951BD" w:rsidP="00FF6767">
      <w:pPr>
        <w:pStyle w:val="NoSpacing"/>
        <w:rPr>
          <w:rFonts w:cstheme="minorHAnsi"/>
          <w:sz w:val="22"/>
          <w:szCs w:val="22"/>
        </w:rPr>
      </w:pPr>
    </w:p>
    <w:p w14:paraId="1D6EA699" w14:textId="2E92CA9B" w:rsidR="00AC6EA6" w:rsidRPr="00CA2910" w:rsidRDefault="00AC6EA6" w:rsidP="00CA2910">
      <w:pPr>
        <w:pStyle w:val="Heading2"/>
        <w:rPr>
          <w:rFonts w:eastAsia="MS Gothic"/>
          <w:b/>
          <w:bCs/>
        </w:rPr>
      </w:pPr>
      <w:bookmarkStart w:id="7" w:name="_Toc47190619"/>
      <w:r w:rsidRPr="00CA2910">
        <w:rPr>
          <w:rFonts w:eastAsia="MS Gothic"/>
          <w:b/>
          <w:bCs/>
        </w:rPr>
        <w:t>Questions on market</w:t>
      </w:r>
      <w:r w:rsidR="00C400BC">
        <w:rPr>
          <w:rFonts w:eastAsia="MS Gothic"/>
          <w:b/>
          <w:bCs/>
        </w:rPr>
        <w:t>s</w:t>
      </w:r>
      <w:r w:rsidRPr="00CA2910">
        <w:rPr>
          <w:rFonts w:eastAsia="MS Gothic"/>
          <w:b/>
          <w:bCs/>
        </w:rPr>
        <w:t xml:space="preserve"> and finance</w:t>
      </w:r>
      <w:bookmarkEnd w:id="7"/>
    </w:p>
    <w:p w14:paraId="4289FFB1" w14:textId="0817BA37" w:rsidR="00EE30B8" w:rsidRPr="00CA2910" w:rsidRDefault="00EE30B8" w:rsidP="00AC6EA6">
      <w:pPr>
        <w:pStyle w:val="Heading3"/>
        <w:rPr>
          <w:rFonts w:eastAsia="MS Gothic"/>
          <w:u w:val="single"/>
        </w:rPr>
      </w:pPr>
      <w:bookmarkStart w:id="8" w:name="_Toc47190620"/>
      <w:r w:rsidRPr="00CA2910">
        <w:rPr>
          <w:u w:val="single"/>
        </w:rPr>
        <w:t>Do you see these criteria being used by the bond market?</w:t>
      </w:r>
      <w:bookmarkEnd w:id="8"/>
    </w:p>
    <w:p w14:paraId="3C158146" w14:textId="0C5E7FAC" w:rsidR="00C06718" w:rsidRPr="00AC6EA6" w:rsidRDefault="00182961" w:rsidP="00AC6EA6">
      <w:pPr>
        <w:rPr>
          <w:rFonts w:cstheme="minorHAnsi"/>
          <w:sz w:val="22"/>
          <w:szCs w:val="22"/>
        </w:rPr>
      </w:pPr>
      <w:r w:rsidRPr="00AC6EA6">
        <w:rPr>
          <w:rFonts w:cstheme="minorHAnsi"/>
          <w:sz w:val="22"/>
          <w:szCs w:val="22"/>
        </w:rPr>
        <w:t xml:space="preserve">Green Bonds have already been issued by </w:t>
      </w:r>
      <w:r w:rsidR="00EE30B8" w:rsidRPr="00AC6EA6">
        <w:rPr>
          <w:rFonts w:cstheme="minorHAnsi"/>
          <w:sz w:val="22"/>
          <w:szCs w:val="22"/>
        </w:rPr>
        <w:t xml:space="preserve">NYK, MOL and </w:t>
      </w:r>
      <w:proofErr w:type="spellStart"/>
      <w:r w:rsidR="00EE30B8" w:rsidRPr="00AC6EA6">
        <w:rPr>
          <w:rFonts w:cstheme="minorHAnsi"/>
          <w:sz w:val="22"/>
          <w:szCs w:val="22"/>
        </w:rPr>
        <w:t>Teekay</w:t>
      </w:r>
      <w:proofErr w:type="spellEnd"/>
      <w:r w:rsidRPr="00AC6EA6">
        <w:rPr>
          <w:rFonts w:cstheme="minorHAnsi"/>
          <w:sz w:val="22"/>
          <w:szCs w:val="22"/>
        </w:rPr>
        <w:t xml:space="preserve">, proving that the </w:t>
      </w:r>
      <w:r w:rsidR="00AC6EA6" w:rsidRPr="00AC6EA6">
        <w:rPr>
          <w:rFonts w:cstheme="minorHAnsi"/>
          <w:sz w:val="22"/>
          <w:szCs w:val="22"/>
        </w:rPr>
        <w:t>Use of Proceeds approach is</w:t>
      </w:r>
      <w:r w:rsidR="00B20BC2" w:rsidRPr="00AC6EA6">
        <w:rPr>
          <w:rFonts w:cstheme="minorHAnsi"/>
          <w:sz w:val="22"/>
          <w:szCs w:val="22"/>
        </w:rPr>
        <w:t xml:space="preserve"> applicable</w:t>
      </w:r>
      <w:r w:rsidRPr="00AC6EA6">
        <w:rPr>
          <w:rFonts w:cstheme="minorHAnsi"/>
          <w:sz w:val="22"/>
          <w:szCs w:val="22"/>
        </w:rPr>
        <w:t xml:space="preserve"> in the shipping sector. </w:t>
      </w:r>
      <w:r w:rsidR="00B20BC2" w:rsidRPr="00AC6EA6">
        <w:rPr>
          <w:rFonts w:cstheme="minorHAnsi"/>
          <w:sz w:val="22"/>
          <w:szCs w:val="22"/>
        </w:rPr>
        <w:t xml:space="preserve">Remember, the </w:t>
      </w:r>
      <w:r w:rsidR="00C06718" w:rsidRPr="00AC6EA6">
        <w:rPr>
          <w:rFonts w:cstheme="minorHAnsi"/>
          <w:sz w:val="22"/>
          <w:szCs w:val="22"/>
        </w:rPr>
        <w:t xml:space="preserve">CBI Standard and Certification scheme is </w:t>
      </w:r>
      <w:r w:rsidRPr="00AC6EA6">
        <w:rPr>
          <w:rFonts w:cstheme="minorHAnsi"/>
          <w:sz w:val="22"/>
          <w:szCs w:val="22"/>
        </w:rPr>
        <w:t>an additional layer</w:t>
      </w:r>
      <w:r w:rsidR="00B20BC2" w:rsidRPr="00AC6EA6">
        <w:rPr>
          <w:rFonts w:cstheme="minorHAnsi"/>
          <w:sz w:val="22"/>
          <w:szCs w:val="22"/>
        </w:rPr>
        <w:t xml:space="preserve"> of information</w:t>
      </w:r>
      <w:r w:rsidRPr="00AC6EA6">
        <w:rPr>
          <w:rFonts w:cstheme="minorHAnsi"/>
          <w:sz w:val="22"/>
          <w:szCs w:val="22"/>
        </w:rPr>
        <w:t xml:space="preserve"> which gives investors an indication of whether this bond’s Use of Proceeds </w:t>
      </w:r>
      <w:r w:rsidR="003B68B0">
        <w:rPr>
          <w:rFonts w:cstheme="minorHAnsi"/>
          <w:sz w:val="22"/>
          <w:szCs w:val="22"/>
        </w:rPr>
        <w:t>are</w:t>
      </w:r>
      <w:r w:rsidRPr="00AC6EA6">
        <w:rPr>
          <w:rFonts w:cstheme="minorHAnsi"/>
          <w:sz w:val="22"/>
          <w:szCs w:val="22"/>
        </w:rPr>
        <w:t xml:space="preserve"> aligned with the Paris Agreement</w:t>
      </w:r>
      <w:r w:rsidR="00C06718" w:rsidRPr="00AC6EA6">
        <w:rPr>
          <w:rFonts w:cstheme="minorHAnsi"/>
          <w:sz w:val="22"/>
          <w:szCs w:val="22"/>
        </w:rPr>
        <w:t xml:space="preserve">. </w:t>
      </w:r>
    </w:p>
    <w:p w14:paraId="13D1DF4D" w14:textId="75703B80" w:rsidR="00AC6EA6" w:rsidRPr="00AC6EA6" w:rsidRDefault="00AC6EA6" w:rsidP="00AC6EA6">
      <w:pPr>
        <w:rPr>
          <w:rFonts w:cstheme="minorHAnsi"/>
          <w:sz w:val="22"/>
          <w:szCs w:val="22"/>
        </w:rPr>
      </w:pPr>
    </w:p>
    <w:p w14:paraId="6DA795FB" w14:textId="2CBED5F2" w:rsidR="00AC6EA6" w:rsidRDefault="00AC6EA6" w:rsidP="00AC6EA6">
      <w:pPr>
        <w:rPr>
          <w:rFonts w:cstheme="minorHAnsi"/>
          <w:sz w:val="22"/>
          <w:szCs w:val="22"/>
        </w:rPr>
      </w:pPr>
      <w:r w:rsidRPr="00AC6EA6">
        <w:rPr>
          <w:rFonts w:cstheme="minorHAnsi"/>
          <w:sz w:val="22"/>
          <w:szCs w:val="22"/>
        </w:rPr>
        <w:t xml:space="preserve">The criteria are ambitious, and only the most ambitious assets will be eligible for certification. But this is precisely the point, we need to be more ambitious if we are to tackle climate change. As the technology and market develops, we hope that more assets will be eligible for certification. </w:t>
      </w:r>
    </w:p>
    <w:p w14:paraId="0BE4063D" w14:textId="7B3EC4AC" w:rsidR="00AC6EA6" w:rsidRDefault="00AC6EA6" w:rsidP="00AC6EA6">
      <w:pPr>
        <w:rPr>
          <w:rFonts w:cstheme="minorHAnsi"/>
          <w:sz w:val="22"/>
          <w:szCs w:val="22"/>
        </w:rPr>
      </w:pPr>
    </w:p>
    <w:p w14:paraId="59DE58B7" w14:textId="77777777" w:rsidR="00C3161D" w:rsidRPr="00CA2910" w:rsidRDefault="00C3161D" w:rsidP="00C3161D">
      <w:pPr>
        <w:pStyle w:val="Heading3"/>
        <w:rPr>
          <w:rFonts w:eastAsia="MS Gothic"/>
          <w:u w:val="single"/>
        </w:rPr>
      </w:pPr>
      <w:bookmarkStart w:id="9" w:name="_Toc47190621"/>
      <w:r w:rsidRPr="00CA2910">
        <w:rPr>
          <w:u w:val="single"/>
        </w:rPr>
        <w:t>Does CBI view securitisation as green if the backed assets are green and/or the proceeds from the securitisation are used for green purposes?</w:t>
      </w:r>
      <w:bookmarkEnd w:id="9"/>
    </w:p>
    <w:p w14:paraId="41FE4DAE" w14:textId="6B3E4F96" w:rsidR="00C3161D" w:rsidRPr="00AC6EA6" w:rsidRDefault="00C3161D" w:rsidP="00C3161D">
      <w:pPr>
        <w:rPr>
          <w:rFonts w:cstheme="minorHAnsi"/>
          <w:sz w:val="22"/>
          <w:szCs w:val="22"/>
        </w:rPr>
      </w:pPr>
      <w:r w:rsidRPr="00AC6EA6">
        <w:rPr>
          <w:rFonts w:cstheme="minorHAnsi"/>
          <w:sz w:val="22"/>
          <w:szCs w:val="22"/>
        </w:rPr>
        <w:t>it is our view that the actual use of proceeds should be green, not necessarily the securitised assets. In other words, it is the projects and assets which the proceeds are allocated to that have to pass the requirements of the Standard</w:t>
      </w:r>
      <w:r w:rsidR="003B68B0">
        <w:rPr>
          <w:rFonts w:cstheme="minorHAnsi"/>
          <w:sz w:val="22"/>
          <w:szCs w:val="22"/>
        </w:rPr>
        <w:t xml:space="preserve">. </w:t>
      </w:r>
      <w:r w:rsidRPr="00AC6EA6">
        <w:rPr>
          <w:rFonts w:cstheme="minorHAnsi"/>
          <w:sz w:val="22"/>
          <w:szCs w:val="22"/>
        </w:rPr>
        <w:t>While we encourage the use of green receivables for securitised bonds, it is not a prerequisite. </w:t>
      </w:r>
    </w:p>
    <w:p w14:paraId="3D57517F" w14:textId="77777777" w:rsidR="00C3161D" w:rsidRPr="00AC6EA6" w:rsidRDefault="00C3161D" w:rsidP="00AC6EA6">
      <w:pPr>
        <w:rPr>
          <w:rFonts w:cstheme="minorHAnsi"/>
          <w:sz w:val="22"/>
          <w:szCs w:val="22"/>
        </w:rPr>
      </w:pPr>
    </w:p>
    <w:p w14:paraId="00CD89F4" w14:textId="41C915FC" w:rsidR="00C06718" w:rsidRPr="00CA2910" w:rsidRDefault="00AC6EA6" w:rsidP="00AC6EA6">
      <w:pPr>
        <w:pStyle w:val="Heading3"/>
        <w:rPr>
          <w:u w:val="single"/>
        </w:rPr>
      </w:pPr>
      <w:bookmarkStart w:id="10" w:name="_Toc47190622"/>
      <w:r w:rsidRPr="00CA2910">
        <w:rPr>
          <w:u w:val="single"/>
        </w:rPr>
        <w:t>There are other investments that can make shipping more sustainable</w:t>
      </w:r>
      <w:r w:rsidR="00C3161D" w:rsidRPr="00CA2910">
        <w:rPr>
          <w:u w:val="single"/>
        </w:rPr>
        <w:t xml:space="preserve"> in other areas (beyond climate change)</w:t>
      </w:r>
      <w:r w:rsidRPr="00CA2910">
        <w:rPr>
          <w:u w:val="single"/>
        </w:rPr>
        <w:t xml:space="preserve"> why are these not recognised by the criteria?</w:t>
      </w:r>
      <w:bookmarkEnd w:id="10"/>
      <w:r w:rsidRPr="00CA2910">
        <w:rPr>
          <w:u w:val="single"/>
        </w:rPr>
        <w:t xml:space="preserve"> </w:t>
      </w:r>
    </w:p>
    <w:p w14:paraId="6C183670" w14:textId="65425BAE" w:rsidR="00C06718" w:rsidRPr="00AC6EA6" w:rsidRDefault="00C06718" w:rsidP="00AC6EA6">
      <w:pPr>
        <w:rPr>
          <w:rFonts w:cstheme="minorHAnsi"/>
          <w:sz w:val="22"/>
          <w:szCs w:val="22"/>
        </w:rPr>
      </w:pPr>
      <w:r w:rsidRPr="00AC6EA6">
        <w:rPr>
          <w:rFonts w:cstheme="minorHAnsi"/>
          <w:sz w:val="22"/>
          <w:szCs w:val="22"/>
        </w:rPr>
        <w:t xml:space="preserve">We are </w:t>
      </w:r>
      <w:r w:rsidR="003B68B0">
        <w:rPr>
          <w:rFonts w:cstheme="minorHAnsi"/>
          <w:sz w:val="22"/>
          <w:szCs w:val="22"/>
        </w:rPr>
        <w:t xml:space="preserve">primarily </w:t>
      </w:r>
      <w:r w:rsidRPr="00AC6EA6">
        <w:rPr>
          <w:rFonts w:cstheme="minorHAnsi"/>
          <w:sz w:val="22"/>
          <w:szCs w:val="22"/>
        </w:rPr>
        <w:t xml:space="preserve">concerned with climate change mitigation and adaptation. While recognising other environmental objectives (such as water, biodiversity, ozone depletion, etc) these are not within the remit of the </w:t>
      </w:r>
      <w:r w:rsidR="00FB1217">
        <w:rPr>
          <w:rFonts w:cstheme="minorHAnsi"/>
          <w:sz w:val="22"/>
          <w:szCs w:val="22"/>
        </w:rPr>
        <w:t xml:space="preserve">CBI Standard and Certification scheme. </w:t>
      </w:r>
    </w:p>
    <w:p w14:paraId="0F7C30A9" w14:textId="77777777" w:rsidR="00B20BC2" w:rsidRPr="00AC6EA6" w:rsidRDefault="00B20BC2" w:rsidP="00AC6EA6">
      <w:pPr>
        <w:rPr>
          <w:rFonts w:cstheme="minorHAnsi"/>
          <w:sz w:val="22"/>
          <w:szCs w:val="22"/>
        </w:rPr>
      </w:pPr>
    </w:p>
    <w:p w14:paraId="7A1014BD" w14:textId="1D0D0E5F" w:rsidR="00B20BC2" w:rsidRDefault="00FB1217" w:rsidP="00AC6EA6">
      <w:pPr>
        <w:rPr>
          <w:rFonts w:cstheme="minorHAnsi"/>
          <w:sz w:val="22"/>
          <w:szCs w:val="22"/>
        </w:rPr>
      </w:pPr>
      <w:r>
        <w:rPr>
          <w:rFonts w:cstheme="minorHAnsi"/>
          <w:sz w:val="22"/>
          <w:szCs w:val="22"/>
        </w:rPr>
        <w:t>T</w:t>
      </w:r>
      <w:r w:rsidR="00182961" w:rsidRPr="00AC6EA6">
        <w:rPr>
          <w:rFonts w:cstheme="minorHAnsi"/>
          <w:sz w:val="22"/>
          <w:szCs w:val="22"/>
        </w:rPr>
        <w:t xml:space="preserve">hese criteria are applicable to other debt instruments, provided the meet the Climate Bonds Standard. </w:t>
      </w:r>
    </w:p>
    <w:p w14:paraId="1E19B05B" w14:textId="5A8F57C4" w:rsidR="00C3161D" w:rsidRDefault="00C3161D" w:rsidP="00AC6EA6">
      <w:pPr>
        <w:rPr>
          <w:rFonts w:cstheme="minorHAnsi"/>
          <w:sz w:val="22"/>
          <w:szCs w:val="22"/>
        </w:rPr>
      </w:pPr>
    </w:p>
    <w:p w14:paraId="16CF826B" w14:textId="77777777" w:rsidR="00C3161D" w:rsidRPr="00CA2910" w:rsidRDefault="00C3161D" w:rsidP="00C3161D">
      <w:pPr>
        <w:pStyle w:val="Heading3"/>
        <w:rPr>
          <w:rFonts w:eastAsiaTheme="minorHAnsi"/>
          <w:u w:val="single"/>
        </w:rPr>
      </w:pPr>
      <w:bookmarkStart w:id="11" w:name="_Toc47190623"/>
      <w:r w:rsidRPr="00CA2910">
        <w:rPr>
          <w:rFonts w:eastAsiaTheme="minorHAnsi"/>
          <w:u w:val="single"/>
        </w:rPr>
        <w:t>What about leasing of equipment on board?</w:t>
      </w:r>
      <w:bookmarkEnd w:id="11"/>
      <w:r w:rsidRPr="00CA2910">
        <w:rPr>
          <w:rFonts w:eastAsiaTheme="minorHAnsi"/>
          <w:u w:val="single"/>
        </w:rPr>
        <w:t xml:space="preserve"> </w:t>
      </w:r>
    </w:p>
    <w:p w14:paraId="1B625DF6" w14:textId="2A6ED791" w:rsidR="00C3161D" w:rsidRDefault="00B35449" w:rsidP="00C3161D">
      <w:pPr>
        <w:rPr>
          <w:rFonts w:cstheme="minorHAnsi"/>
          <w:sz w:val="22"/>
          <w:szCs w:val="22"/>
        </w:rPr>
      </w:pPr>
      <w:r>
        <w:rPr>
          <w:rFonts w:cstheme="minorHAnsi"/>
          <w:sz w:val="22"/>
          <w:szCs w:val="22"/>
        </w:rPr>
        <w:t>Yes,</w:t>
      </w:r>
      <w:r w:rsidR="00C3161D" w:rsidRPr="00AC6EA6">
        <w:rPr>
          <w:rFonts w:cstheme="minorHAnsi"/>
          <w:sz w:val="22"/>
          <w:szCs w:val="22"/>
        </w:rPr>
        <w:t xml:space="preserve"> the</w:t>
      </w:r>
      <w:r w:rsidR="00C3161D">
        <w:rPr>
          <w:rFonts w:cstheme="minorHAnsi"/>
          <w:sz w:val="22"/>
          <w:szCs w:val="22"/>
        </w:rPr>
        <w:t xml:space="preserve">re is no reason that these criteria could not be applied to certify debt instruments used to cover leasing of equipment on board a ship, provided that the ship meets the criteria. </w:t>
      </w:r>
    </w:p>
    <w:p w14:paraId="79509B22" w14:textId="245C4FCE" w:rsidR="00B35449" w:rsidRDefault="00B35449" w:rsidP="00C3161D">
      <w:pPr>
        <w:rPr>
          <w:rFonts w:cstheme="minorHAnsi"/>
          <w:sz w:val="22"/>
          <w:szCs w:val="22"/>
        </w:rPr>
      </w:pPr>
    </w:p>
    <w:p w14:paraId="63A959D4" w14:textId="28DE840B" w:rsidR="00F65B97" w:rsidRPr="003B68B0" w:rsidRDefault="00B35449" w:rsidP="00F65B97">
      <w:pPr>
        <w:rPr>
          <w:rFonts w:cstheme="minorHAnsi"/>
          <w:sz w:val="22"/>
          <w:szCs w:val="22"/>
        </w:rPr>
      </w:pPr>
      <w:r>
        <w:rPr>
          <w:rFonts w:cstheme="minorHAnsi"/>
          <w:sz w:val="22"/>
          <w:szCs w:val="22"/>
        </w:rPr>
        <w:t xml:space="preserve">Unfortunately, given the structure of these criteria, we </w:t>
      </w:r>
      <w:r w:rsidR="00FB1217">
        <w:rPr>
          <w:rFonts w:cstheme="minorHAnsi"/>
          <w:sz w:val="22"/>
          <w:szCs w:val="22"/>
        </w:rPr>
        <w:t>do not</w:t>
      </w:r>
      <w:r>
        <w:rPr>
          <w:rFonts w:cstheme="minorHAnsi"/>
          <w:sz w:val="22"/>
          <w:szCs w:val="22"/>
        </w:rPr>
        <w:t xml:space="preserve"> certify debt issued by the lessor of the technology. This will be reviewed as we expand the scope of the CBI taxonomy.  </w:t>
      </w:r>
    </w:p>
    <w:p w14:paraId="52F1DF26" w14:textId="77777777" w:rsidR="00C3161D" w:rsidRPr="00AC6EA6" w:rsidRDefault="00C3161D" w:rsidP="00C3161D">
      <w:pPr>
        <w:rPr>
          <w:rFonts w:eastAsia="MS Gothic" w:cstheme="minorHAnsi"/>
          <w:sz w:val="22"/>
          <w:szCs w:val="22"/>
        </w:rPr>
      </w:pPr>
    </w:p>
    <w:p w14:paraId="6DBA29D6" w14:textId="77C28352" w:rsidR="00FB1217" w:rsidRDefault="00FB1217" w:rsidP="00FB1217">
      <w:pPr>
        <w:pStyle w:val="Heading3"/>
        <w:rPr>
          <w:u w:val="single"/>
        </w:rPr>
      </w:pPr>
      <w:bookmarkStart w:id="12" w:name="_Toc47190624"/>
      <w:r>
        <w:rPr>
          <w:u w:val="single"/>
        </w:rPr>
        <w:t xml:space="preserve">Can </w:t>
      </w:r>
      <w:r w:rsidR="00C400BC">
        <w:rPr>
          <w:u w:val="single"/>
        </w:rPr>
        <w:t>i</w:t>
      </w:r>
      <w:r>
        <w:rPr>
          <w:u w:val="single"/>
        </w:rPr>
        <w:t>ssuers use the weighted average of a portfolio to meet the Certification criteria?</w:t>
      </w:r>
      <w:bookmarkEnd w:id="12"/>
      <w:r>
        <w:rPr>
          <w:u w:val="single"/>
        </w:rPr>
        <w:t xml:space="preserve">  </w:t>
      </w:r>
    </w:p>
    <w:p w14:paraId="133D718B" w14:textId="1E83A52B" w:rsidR="009841BA" w:rsidRPr="003B68B0" w:rsidRDefault="009841BA" w:rsidP="003B68B0">
      <w:pPr>
        <w:rPr>
          <w:rFonts w:cstheme="minorHAnsi"/>
          <w:sz w:val="22"/>
          <w:szCs w:val="22"/>
        </w:rPr>
      </w:pPr>
      <w:r>
        <w:rPr>
          <w:rFonts w:cstheme="minorHAnsi"/>
          <w:sz w:val="22"/>
          <w:szCs w:val="22"/>
        </w:rPr>
        <w:t>No, we do not see there being a need to allow for emissions to be averaged across a pool of assets.</w:t>
      </w:r>
      <w:r w:rsidR="00C400BC">
        <w:rPr>
          <w:rFonts w:cstheme="minorHAnsi"/>
          <w:sz w:val="22"/>
          <w:szCs w:val="22"/>
        </w:rPr>
        <w:t xml:space="preserve"> I</w:t>
      </w:r>
      <w:r w:rsidR="00C400BC" w:rsidRPr="003B68B0">
        <w:rPr>
          <w:rFonts w:cstheme="minorHAnsi"/>
          <w:sz w:val="22"/>
          <w:szCs w:val="22"/>
        </w:rPr>
        <w:t>ssuers would have to collect the emissions intensity performance of each individual asset in any case so there is no data constraint.</w:t>
      </w:r>
      <w:r w:rsidR="00C400BC">
        <w:rPr>
          <w:rFonts w:cstheme="minorHAnsi"/>
          <w:sz w:val="22"/>
          <w:szCs w:val="22"/>
        </w:rPr>
        <w:t xml:space="preserve"> </w:t>
      </w:r>
      <w:r w:rsidRPr="003B68B0">
        <w:rPr>
          <w:rFonts w:cstheme="minorHAnsi"/>
          <w:sz w:val="22"/>
          <w:szCs w:val="22"/>
        </w:rPr>
        <w:t xml:space="preserve">Allowing for an averaging </w:t>
      </w:r>
      <w:r w:rsidR="00FB1217">
        <w:rPr>
          <w:rFonts w:cstheme="minorHAnsi"/>
          <w:sz w:val="22"/>
          <w:szCs w:val="22"/>
        </w:rPr>
        <w:t>implies</w:t>
      </w:r>
      <w:r w:rsidRPr="003B68B0">
        <w:rPr>
          <w:rFonts w:cstheme="minorHAnsi"/>
          <w:sz w:val="22"/>
          <w:szCs w:val="22"/>
        </w:rPr>
        <w:t xml:space="preserve"> that at a</w:t>
      </w:r>
      <w:r w:rsidR="00FB1217">
        <w:rPr>
          <w:rFonts w:cstheme="minorHAnsi"/>
          <w:sz w:val="22"/>
          <w:szCs w:val="22"/>
        </w:rPr>
        <w:t xml:space="preserve"> cert</w:t>
      </w:r>
      <w:r w:rsidR="002C38F5">
        <w:rPr>
          <w:rFonts w:cstheme="minorHAnsi"/>
          <w:sz w:val="22"/>
          <w:szCs w:val="22"/>
        </w:rPr>
        <w:t>ai</w:t>
      </w:r>
      <w:r w:rsidR="00FB1217">
        <w:rPr>
          <w:rFonts w:cstheme="minorHAnsi"/>
          <w:sz w:val="22"/>
          <w:szCs w:val="22"/>
        </w:rPr>
        <w:t>n</w:t>
      </w:r>
      <w:r w:rsidRPr="003B68B0">
        <w:rPr>
          <w:rFonts w:cstheme="minorHAnsi"/>
          <w:sz w:val="22"/>
          <w:szCs w:val="22"/>
        </w:rPr>
        <w:t xml:space="preserve"> point in time, there will be a ship operating at an emissions intensity level that is not aligned with the Paris Agreement. </w:t>
      </w:r>
    </w:p>
    <w:p w14:paraId="308D0B2B" w14:textId="31F9DF82" w:rsidR="009841BA" w:rsidRDefault="009841BA" w:rsidP="009841BA"/>
    <w:p w14:paraId="3F28B031" w14:textId="3599CCC5" w:rsidR="009841BA" w:rsidRPr="00FB1217" w:rsidRDefault="003B68B0" w:rsidP="009841BA">
      <w:pPr>
        <w:pStyle w:val="Heading3"/>
        <w:rPr>
          <w:u w:val="single"/>
        </w:rPr>
      </w:pPr>
      <w:bookmarkStart w:id="13" w:name="_Toc47190625"/>
      <w:r w:rsidRPr="00FB1217">
        <w:rPr>
          <w:u w:val="single"/>
        </w:rPr>
        <w:t xml:space="preserve">Can Covered Bonds be </w:t>
      </w:r>
      <w:r w:rsidR="009841BA" w:rsidRPr="00FB1217">
        <w:rPr>
          <w:u w:val="single"/>
        </w:rPr>
        <w:t>Certified?</w:t>
      </w:r>
      <w:bookmarkEnd w:id="13"/>
      <w:r w:rsidR="009841BA" w:rsidRPr="00FB1217">
        <w:rPr>
          <w:u w:val="single"/>
        </w:rPr>
        <w:t xml:space="preserve"> </w:t>
      </w:r>
    </w:p>
    <w:p w14:paraId="5E35F511" w14:textId="58DE6EAA" w:rsidR="00FB1217" w:rsidRPr="003B68B0" w:rsidRDefault="00FB1217" w:rsidP="00C3161D">
      <w:r>
        <w:t xml:space="preserve">Yes, covered bonds can be certified. Provided that the assets to which the proceeds will be used are compliant with their respective emissions intensity thresholds. However, we </w:t>
      </w:r>
      <w:r w:rsidRPr="00FB1217">
        <w:rPr>
          <w:b/>
          <w:bCs/>
        </w:rPr>
        <w:t xml:space="preserve">do </w:t>
      </w:r>
      <w:r w:rsidRPr="00FB1217">
        <w:rPr>
          <w:b/>
          <w:bCs/>
        </w:rPr>
        <w:lastRenderedPageBreak/>
        <w:t>not require</w:t>
      </w:r>
      <w:r>
        <w:t xml:space="preserve"> that the pool of assets used as collateral in the covered bond are compliant with the respective threshold. </w:t>
      </w:r>
    </w:p>
    <w:p w14:paraId="0082F2A0" w14:textId="3AA2A311" w:rsidR="00553793" w:rsidRDefault="00553793" w:rsidP="00C3161D">
      <w:pPr>
        <w:rPr>
          <w:rFonts w:cstheme="minorHAnsi"/>
          <w:sz w:val="22"/>
          <w:szCs w:val="22"/>
        </w:rPr>
      </w:pPr>
    </w:p>
    <w:p w14:paraId="5474C835" w14:textId="463E553E" w:rsidR="00553793" w:rsidRPr="00CA2910" w:rsidRDefault="00553793" w:rsidP="00553793">
      <w:pPr>
        <w:pStyle w:val="Heading2"/>
        <w:rPr>
          <w:b/>
          <w:bCs/>
        </w:rPr>
      </w:pPr>
      <w:bookmarkStart w:id="14" w:name="_Toc47190626"/>
      <w:r w:rsidRPr="00CA2910">
        <w:rPr>
          <w:b/>
          <w:bCs/>
        </w:rPr>
        <w:t>Questions about the M</w:t>
      </w:r>
      <w:r w:rsidR="00C400BC">
        <w:rPr>
          <w:b/>
          <w:bCs/>
        </w:rPr>
        <w:t>anaged Reduction Plans (M</w:t>
      </w:r>
      <w:r w:rsidRPr="00CA2910">
        <w:rPr>
          <w:b/>
          <w:bCs/>
        </w:rPr>
        <w:t>RP</w:t>
      </w:r>
      <w:bookmarkEnd w:id="14"/>
      <w:r w:rsidR="00C400BC">
        <w:rPr>
          <w:b/>
          <w:bCs/>
        </w:rPr>
        <w:t>)</w:t>
      </w:r>
      <w:r w:rsidRPr="00CA2910">
        <w:rPr>
          <w:b/>
          <w:bCs/>
        </w:rPr>
        <w:t xml:space="preserve"> </w:t>
      </w:r>
    </w:p>
    <w:p w14:paraId="25222608" w14:textId="55C9DC47" w:rsidR="009841BA" w:rsidRPr="00CA2910" w:rsidRDefault="009841BA" w:rsidP="009841BA">
      <w:pPr>
        <w:pStyle w:val="Heading3"/>
        <w:rPr>
          <w:u w:val="single"/>
        </w:rPr>
      </w:pPr>
      <w:bookmarkStart w:id="15" w:name="_Toc47190627"/>
      <w:r w:rsidRPr="00CA2910">
        <w:rPr>
          <w:u w:val="single"/>
        </w:rPr>
        <w:t>The MRP presents an unknown burden on issuers.</w:t>
      </w:r>
      <w:r w:rsidR="00F65B97" w:rsidRPr="00CA2910">
        <w:rPr>
          <w:u w:val="single"/>
        </w:rPr>
        <w:t xml:space="preserve"> </w:t>
      </w:r>
      <w:r w:rsidRPr="00CA2910">
        <w:rPr>
          <w:u w:val="single"/>
        </w:rPr>
        <w:t>Such documentation does not exist in market</w:t>
      </w:r>
      <w:r w:rsidR="00F65B97" w:rsidRPr="00CA2910">
        <w:rPr>
          <w:u w:val="single"/>
        </w:rPr>
        <w:t>. Can you provide some clarity on what is expected of issuers?</w:t>
      </w:r>
      <w:bookmarkEnd w:id="15"/>
      <w:r w:rsidR="00F65B97" w:rsidRPr="00CA2910">
        <w:rPr>
          <w:u w:val="single"/>
        </w:rPr>
        <w:t xml:space="preserve"> </w:t>
      </w:r>
    </w:p>
    <w:p w14:paraId="7E85114D" w14:textId="58DB8F68" w:rsidR="002951EA" w:rsidRDefault="005A36F4" w:rsidP="00AC6EA6">
      <w:pPr>
        <w:rPr>
          <w:rFonts w:eastAsia="MS Gothic" w:cstheme="minorHAnsi"/>
          <w:sz w:val="22"/>
          <w:szCs w:val="22"/>
        </w:rPr>
      </w:pPr>
      <w:r>
        <w:rPr>
          <w:rFonts w:eastAsia="MS Gothic" w:cstheme="minorHAnsi"/>
          <w:sz w:val="22"/>
          <w:szCs w:val="22"/>
        </w:rPr>
        <w:t xml:space="preserve">The MRP </w:t>
      </w:r>
      <w:r w:rsidR="002951EA">
        <w:rPr>
          <w:rFonts w:eastAsia="MS Gothic" w:cstheme="minorHAnsi"/>
          <w:sz w:val="22"/>
          <w:szCs w:val="22"/>
        </w:rPr>
        <w:t xml:space="preserve">seeks to encourage issuers to continue their decarbonisation efforts throughout the operating life of an asset, even after the </w:t>
      </w:r>
      <w:r w:rsidR="00FB1217">
        <w:rPr>
          <w:rFonts w:eastAsia="MS Gothic" w:cstheme="minorHAnsi"/>
          <w:sz w:val="22"/>
          <w:szCs w:val="22"/>
        </w:rPr>
        <w:t xml:space="preserve">Certified </w:t>
      </w:r>
      <w:r w:rsidR="002951EA">
        <w:rPr>
          <w:rFonts w:eastAsia="MS Gothic" w:cstheme="minorHAnsi"/>
          <w:sz w:val="22"/>
          <w:szCs w:val="22"/>
        </w:rPr>
        <w:t xml:space="preserve">bond matures. </w:t>
      </w:r>
    </w:p>
    <w:p w14:paraId="5AD18779" w14:textId="77777777" w:rsidR="002951EA" w:rsidRDefault="002951EA" w:rsidP="00AC6EA6">
      <w:pPr>
        <w:rPr>
          <w:rFonts w:eastAsia="MS Gothic" w:cstheme="minorHAnsi"/>
          <w:sz w:val="22"/>
          <w:szCs w:val="22"/>
        </w:rPr>
      </w:pPr>
    </w:p>
    <w:p w14:paraId="30A2605A" w14:textId="33BA95BA" w:rsidR="002951EA" w:rsidRDefault="00FB1217" w:rsidP="00AC6EA6">
      <w:pPr>
        <w:rPr>
          <w:rFonts w:eastAsia="MS Gothic" w:cstheme="minorHAnsi"/>
          <w:sz w:val="22"/>
          <w:szCs w:val="22"/>
        </w:rPr>
      </w:pPr>
      <w:r>
        <w:rPr>
          <w:rFonts w:eastAsia="MS Gothic" w:cstheme="minorHAnsi"/>
          <w:sz w:val="22"/>
          <w:szCs w:val="22"/>
        </w:rPr>
        <w:t xml:space="preserve">We are concerned that </w:t>
      </w:r>
      <w:r w:rsidR="002951EA">
        <w:rPr>
          <w:rFonts w:eastAsia="MS Gothic" w:cstheme="minorHAnsi"/>
          <w:sz w:val="22"/>
          <w:szCs w:val="22"/>
        </w:rPr>
        <w:t xml:space="preserve">issuers </w:t>
      </w:r>
      <w:r>
        <w:rPr>
          <w:rFonts w:eastAsia="MS Gothic" w:cstheme="minorHAnsi"/>
          <w:sz w:val="22"/>
          <w:szCs w:val="22"/>
        </w:rPr>
        <w:t>might</w:t>
      </w:r>
      <w:r w:rsidR="002951EA">
        <w:rPr>
          <w:rFonts w:eastAsia="MS Gothic" w:cstheme="minorHAnsi"/>
          <w:sz w:val="22"/>
          <w:szCs w:val="22"/>
        </w:rPr>
        <w:t xml:space="preserve"> Certify </w:t>
      </w:r>
      <w:r>
        <w:rPr>
          <w:rFonts w:eastAsia="MS Gothic" w:cstheme="minorHAnsi"/>
          <w:sz w:val="22"/>
          <w:szCs w:val="22"/>
        </w:rPr>
        <w:t xml:space="preserve">a </w:t>
      </w:r>
      <w:r w:rsidR="002951EA">
        <w:rPr>
          <w:rFonts w:eastAsia="MS Gothic" w:cstheme="minorHAnsi"/>
          <w:sz w:val="22"/>
          <w:szCs w:val="22"/>
        </w:rPr>
        <w:t>bond which mature</w:t>
      </w:r>
      <w:r>
        <w:rPr>
          <w:rFonts w:eastAsia="MS Gothic" w:cstheme="minorHAnsi"/>
          <w:sz w:val="22"/>
          <w:szCs w:val="22"/>
        </w:rPr>
        <w:t>s</w:t>
      </w:r>
      <w:r w:rsidR="002951EA">
        <w:rPr>
          <w:rFonts w:eastAsia="MS Gothic" w:cstheme="minorHAnsi"/>
          <w:sz w:val="22"/>
          <w:szCs w:val="22"/>
        </w:rPr>
        <w:t xml:space="preserve"> well before the end of the asset’s operating life</w:t>
      </w:r>
      <w:r>
        <w:rPr>
          <w:rFonts w:eastAsia="MS Gothic" w:cstheme="minorHAnsi"/>
          <w:sz w:val="22"/>
          <w:szCs w:val="22"/>
        </w:rPr>
        <w:t xml:space="preserve">, and that the asset’s emissions intensity will stop decreasing to zero by 2050. </w:t>
      </w:r>
    </w:p>
    <w:p w14:paraId="180ED192" w14:textId="0B8A8F15" w:rsidR="00FB1217" w:rsidRDefault="00FB1217" w:rsidP="00AC6EA6">
      <w:pPr>
        <w:rPr>
          <w:rFonts w:eastAsia="MS Gothic" w:cstheme="minorHAnsi"/>
          <w:sz w:val="22"/>
          <w:szCs w:val="22"/>
        </w:rPr>
      </w:pPr>
    </w:p>
    <w:p w14:paraId="1BA4B1A0" w14:textId="5F00F0B5" w:rsidR="008A79E7" w:rsidRDefault="00FB1217" w:rsidP="00AC6EA6">
      <w:pPr>
        <w:rPr>
          <w:rFonts w:eastAsia="MS Gothic" w:cstheme="minorHAnsi"/>
          <w:sz w:val="22"/>
          <w:szCs w:val="22"/>
        </w:rPr>
      </w:pPr>
      <w:r>
        <w:rPr>
          <w:rFonts w:eastAsia="MS Gothic" w:cstheme="minorHAnsi"/>
          <w:sz w:val="22"/>
          <w:szCs w:val="22"/>
        </w:rPr>
        <w:t xml:space="preserve">To that end, we have provided five questions which issuers must answer. These responses would constitute the issuer’s ‘MRP’. </w:t>
      </w:r>
      <w:r w:rsidR="008A79E7">
        <w:rPr>
          <w:rFonts w:eastAsia="MS Gothic" w:cstheme="minorHAnsi"/>
          <w:sz w:val="22"/>
          <w:szCs w:val="22"/>
        </w:rPr>
        <w:t xml:space="preserve">Submission of an MRP is mandatory but given the novelty of this document we are (at this stage) unable to point to ‘best practice’. We expect that over time, as the volume of Certified bonds grows, we will be able to provide more guidance on what is required. This will be reviewed biennially. </w:t>
      </w:r>
    </w:p>
    <w:p w14:paraId="421F4192" w14:textId="44235482" w:rsidR="008A79E7" w:rsidRDefault="008A79E7" w:rsidP="00AC6EA6">
      <w:pPr>
        <w:rPr>
          <w:rFonts w:eastAsia="MS Gothic" w:cstheme="minorHAnsi"/>
          <w:sz w:val="22"/>
          <w:szCs w:val="22"/>
        </w:rPr>
      </w:pPr>
    </w:p>
    <w:p w14:paraId="1A6DCA3B" w14:textId="4044FDD2" w:rsidR="008A79E7" w:rsidRDefault="008A79E7" w:rsidP="00AC6EA6">
      <w:pPr>
        <w:rPr>
          <w:rFonts w:eastAsia="MS Gothic" w:cstheme="minorHAnsi"/>
          <w:sz w:val="22"/>
          <w:szCs w:val="22"/>
        </w:rPr>
      </w:pPr>
      <w:r>
        <w:rPr>
          <w:rFonts w:eastAsia="MS Gothic" w:cstheme="minorHAnsi"/>
          <w:sz w:val="22"/>
          <w:szCs w:val="22"/>
        </w:rPr>
        <w:t xml:space="preserve">To clarify, we will not at this stage, withhold certification on the basis of an MRPs quality, provided that the relevant information is made available by the issuer. </w:t>
      </w:r>
    </w:p>
    <w:p w14:paraId="25C929EF" w14:textId="77777777" w:rsidR="003B68B0" w:rsidRDefault="003B68B0" w:rsidP="00AC6EA6">
      <w:pPr>
        <w:rPr>
          <w:rFonts w:eastAsia="MS Gothic" w:cstheme="minorHAnsi"/>
          <w:sz w:val="22"/>
          <w:szCs w:val="22"/>
        </w:rPr>
      </w:pPr>
    </w:p>
    <w:p w14:paraId="4F87E0D0" w14:textId="62BA0DD8" w:rsidR="002C38F5" w:rsidRPr="002C38F5" w:rsidRDefault="002C38F5" w:rsidP="002C38F5">
      <w:pPr>
        <w:pStyle w:val="Heading3"/>
        <w:rPr>
          <w:rFonts w:eastAsia="MS Gothic"/>
          <w:u w:val="single"/>
        </w:rPr>
      </w:pPr>
      <w:bookmarkStart w:id="16" w:name="_Toc47190628"/>
      <w:r>
        <w:rPr>
          <w:rFonts w:eastAsia="MS Gothic"/>
          <w:u w:val="single"/>
        </w:rPr>
        <w:t>How should biofuels/</w:t>
      </w:r>
      <w:proofErr w:type="spellStart"/>
      <w:r>
        <w:rPr>
          <w:rFonts w:eastAsia="MS Gothic"/>
          <w:u w:val="single"/>
        </w:rPr>
        <w:t>bioLNG</w:t>
      </w:r>
      <w:proofErr w:type="spellEnd"/>
      <w:r>
        <w:rPr>
          <w:rFonts w:eastAsia="MS Gothic"/>
          <w:u w:val="single"/>
        </w:rPr>
        <w:t xml:space="preserve"> be treated in the MRP</w:t>
      </w:r>
      <w:r w:rsidR="00FF6767">
        <w:rPr>
          <w:rFonts w:eastAsia="MS Gothic"/>
          <w:u w:val="single"/>
        </w:rPr>
        <w:t>?</w:t>
      </w:r>
      <w:bookmarkEnd w:id="16"/>
    </w:p>
    <w:p w14:paraId="5D96D78A" w14:textId="6C73034E" w:rsidR="008A79E7" w:rsidRDefault="005A36F4" w:rsidP="00BA7124">
      <w:pPr>
        <w:rPr>
          <w:rFonts w:eastAsia="MS Gothic" w:cstheme="minorHAnsi"/>
          <w:sz w:val="22"/>
          <w:szCs w:val="22"/>
        </w:rPr>
      </w:pPr>
      <w:r>
        <w:rPr>
          <w:rFonts w:eastAsia="MS Gothic" w:cstheme="minorHAnsi"/>
          <w:sz w:val="22"/>
          <w:szCs w:val="22"/>
        </w:rPr>
        <w:t>There is a significant risk that an issuer will today, certify a bond against an asset</w:t>
      </w:r>
      <w:r w:rsidR="008A79E7">
        <w:rPr>
          <w:rFonts w:eastAsia="MS Gothic" w:cstheme="minorHAnsi"/>
          <w:sz w:val="22"/>
          <w:szCs w:val="22"/>
        </w:rPr>
        <w:t xml:space="preserve"> </w:t>
      </w:r>
      <w:r>
        <w:rPr>
          <w:rFonts w:eastAsia="MS Gothic" w:cstheme="minorHAnsi"/>
          <w:sz w:val="22"/>
          <w:szCs w:val="22"/>
        </w:rPr>
        <w:t xml:space="preserve">which </w:t>
      </w:r>
      <w:r w:rsidR="008A79E7">
        <w:rPr>
          <w:rFonts w:eastAsia="MS Gothic" w:cstheme="minorHAnsi"/>
          <w:sz w:val="22"/>
          <w:szCs w:val="22"/>
        </w:rPr>
        <w:t>is</w:t>
      </w:r>
      <w:r>
        <w:rPr>
          <w:rFonts w:eastAsia="MS Gothic" w:cstheme="minorHAnsi"/>
          <w:sz w:val="22"/>
          <w:szCs w:val="22"/>
        </w:rPr>
        <w:t xml:space="preserve"> currently propelled by LNG, without having a genuine intent or strategy to switch to using </w:t>
      </w:r>
      <w:proofErr w:type="spellStart"/>
      <w:r>
        <w:rPr>
          <w:rFonts w:eastAsia="MS Gothic" w:cstheme="minorHAnsi"/>
          <w:sz w:val="22"/>
          <w:szCs w:val="22"/>
        </w:rPr>
        <w:t>BioLNG</w:t>
      </w:r>
      <w:proofErr w:type="spellEnd"/>
      <w:r>
        <w:rPr>
          <w:rFonts w:eastAsia="MS Gothic" w:cstheme="minorHAnsi"/>
          <w:sz w:val="22"/>
          <w:szCs w:val="22"/>
        </w:rPr>
        <w:t xml:space="preserve"> or other fuel types after the bond matures.</w:t>
      </w:r>
    </w:p>
    <w:p w14:paraId="330C8B30" w14:textId="77777777" w:rsidR="008A79E7" w:rsidRDefault="008A79E7" w:rsidP="00BA7124">
      <w:pPr>
        <w:rPr>
          <w:rFonts w:eastAsia="MS Gothic" w:cstheme="minorHAnsi"/>
          <w:sz w:val="22"/>
          <w:szCs w:val="22"/>
        </w:rPr>
      </w:pPr>
    </w:p>
    <w:p w14:paraId="694F0A5E" w14:textId="03448722" w:rsidR="003B68B0" w:rsidRDefault="003B68B0" w:rsidP="00BA7124">
      <w:pPr>
        <w:rPr>
          <w:rFonts w:eastAsia="MS Gothic" w:cstheme="minorHAnsi"/>
          <w:sz w:val="22"/>
          <w:szCs w:val="22"/>
        </w:rPr>
      </w:pPr>
      <w:r>
        <w:rPr>
          <w:rFonts w:eastAsia="MS Gothic" w:cstheme="minorHAnsi"/>
          <w:sz w:val="22"/>
          <w:szCs w:val="22"/>
        </w:rPr>
        <w:t xml:space="preserve">To reduce this risk, we encourage issuers to submit certificates of origin that verify the source and feedstock of the biofuels consumed on board. </w:t>
      </w:r>
    </w:p>
    <w:p w14:paraId="573334F0" w14:textId="77777777" w:rsidR="003B68B0" w:rsidRDefault="003B68B0" w:rsidP="00BA7124">
      <w:pPr>
        <w:rPr>
          <w:rFonts w:eastAsia="MS Gothic" w:cstheme="minorHAnsi"/>
          <w:sz w:val="22"/>
          <w:szCs w:val="22"/>
        </w:rPr>
      </w:pPr>
    </w:p>
    <w:p w14:paraId="6A2D1EC9" w14:textId="39221CA0" w:rsidR="005A36F4" w:rsidRDefault="003B68B0" w:rsidP="00BA7124">
      <w:pPr>
        <w:rPr>
          <w:rFonts w:eastAsia="MS Gothic" w:cstheme="minorHAnsi"/>
          <w:sz w:val="22"/>
          <w:szCs w:val="22"/>
        </w:rPr>
      </w:pPr>
      <w:r>
        <w:rPr>
          <w:rFonts w:eastAsia="MS Gothic" w:cstheme="minorHAnsi"/>
          <w:sz w:val="22"/>
          <w:szCs w:val="22"/>
        </w:rPr>
        <w:t xml:space="preserve">We recognise that this information may not be available always be present at the time of bond issuance, nevertheless, we encourage issuers to provide this information where possible.  </w:t>
      </w:r>
    </w:p>
    <w:p w14:paraId="03FABC9F" w14:textId="77777777" w:rsidR="005A36F4" w:rsidRDefault="005A36F4" w:rsidP="00AC6EA6">
      <w:pPr>
        <w:rPr>
          <w:rFonts w:eastAsia="MS Gothic" w:cstheme="minorHAnsi"/>
          <w:sz w:val="22"/>
          <w:szCs w:val="22"/>
        </w:rPr>
      </w:pPr>
    </w:p>
    <w:p w14:paraId="69F08814" w14:textId="290016E9" w:rsidR="005A36F4" w:rsidRPr="002C38F5" w:rsidRDefault="00CA2910" w:rsidP="002C38F5">
      <w:pPr>
        <w:pStyle w:val="Heading3"/>
        <w:rPr>
          <w:rFonts w:eastAsia="MS Gothic"/>
          <w:u w:val="single"/>
        </w:rPr>
      </w:pPr>
      <w:bookmarkStart w:id="17" w:name="_Toc47190629"/>
      <w:r w:rsidRPr="00CA2910">
        <w:rPr>
          <w:rFonts w:eastAsia="MS Gothic"/>
          <w:u w:val="single"/>
        </w:rPr>
        <w:t>How do issuers who use a</w:t>
      </w:r>
      <w:r w:rsidR="008A79E7">
        <w:rPr>
          <w:rFonts w:eastAsia="MS Gothic"/>
          <w:u w:val="single"/>
        </w:rPr>
        <w:t xml:space="preserve"> portfolio approach </w:t>
      </w:r>
      <w:r w:rsidRPr="00CA2910">
        <w:rPr>
          <w:rFonts w:eastAsia="MS Gothic"/>
          <w:u w:val="single"/>
        </w:rPr>
        <w:t>produce an MRP?</w:t>
      </w:r>
      <w:bookmarkEnd w:id="17"/>
      <w:r w:rsidRPr="00CA2910">
        <w:rPr>
          <w:rFonts w:eastAsia="MS Gothic"/>
          <w:u w:val="single"/>
        </w:rPr>
        <w:t xml:space="preserve"> </w:t>
      </w:r>
    </w:p>
    <w:p w14:paraId="4BA160E0" w14:textId="75373A1E" w:rsidR="005A36F4" w:rsidRDefault="005A36F4" w:rsidP="005A36F4">
      <w:pPr>
        <w:rPr>
          <w:rFonts w:cstheme="minorHAnsi"/>
          <w:sz w:val="22"/>
          <w:szCs w:val="22"/>
        </w:rPr>
      </w:pPr>
      <w:r>
        <w:rPr>
          <w:rFonts w:cstheme="minorHAnsi"/>
          <w:sz w:val="22"/>
          <w:szCs w:val="22"/>
        </w:rPr>
        <w:t xml:space="preserve">Recognising that it would be unduly burdensome for an issuer to produce an individualised MRP for each asset within a portfolio, we will accept the MRP for such products to take a portfolio-wide approach. </w:t>
      </w:r>
    </w:p>
    <w:p w14:paraId="090E43A6" w14:textId="77777777" w:rsidR="005A36F4" w:rsidRDefault="005A36F4" w:rsidP="005A36F4">
      <w:pPr>
        <w:rPr>
          <w:rFonts w:cstheme="minorHAnsi"/>
          <w:sz w:val="22"/>
          <w:szCs w:val="22"/>
        </w:rPr>
      </w:pPr>
    </w:p>
    <w:p w14:paraId="2A3242EF" w14:textId="037F04FE" w:rsidR="005A36F4" w:rsidRPr="003B68B0" w:rsidRDefault="005A36F4" w:rsidP="00AC6EA6">
      <w:pPr>
        <w:rPr>
          <w:rFonts w:cstheme="minorHAnsi"/>
          <w:sz w:val="22"/>
          <w:szCs w:val="22"/>
        </w:rPr>
      </w:pPr>
      <w:r>
        <w:rPr>
          <w:rFonts w:cstheme="minorHAnsi"/>
          <w:sz w:val="22"/>
          <w:szCs w:val="22"/>
        </w:rPr>
        <w:t xml:space="preserve">This can reflect the issuer’s overall strategy in pursuing net-zero emissions across the fleet and can be evidenced by planned investments/capex in any of the fuels outlined in the MRP, while also explaining how they will maintain flexibility across the assets. </w:t>
      </w:r>
    </w:p>
    <w:p w14:paraId="2E400AF1" w14:textId="77777777" w:rsidR="005A36F4" w:rsidRDefault="005A36F4" w:rsidP="00AC6EA6">
      <w:pPr>
        <w:rPr>
          <w:rFonts w:eastAsia="MS Gothic" w:cstheme="minorHAnsi"/>
          <w:sz w:val="22"/>
          <w:szCs w:val="22"/>
        </w:rPr>
      </w:pPr>
    </w:p>
    <w:p w14:paraId="510BDC73" w14:textId="1E7C5D89" w:rsidR="00AC6EA6" w:rsidRPr="00CA2910" w:rsidRDefault="00AC6EA6" w:rsidP="00CA2910">
      <w:pPr>
        <w:pStyle w:val="Heading2"/>
        <w:rPr>
          <w:rFonts w:eastAsia="MS Gothic"/>
          <w:b/>
          <w:bCs/>
        </w:rPr>
      </w:pPr>
      <w:bookmarkStart w:id="18" w:name="_Toc47190630"/>
      <w:r w:rsidRPr="00CA2910">
        <w:rPr>
          <w:rFonts w:eastAsia="MS Gothic"/>
          <w:b/>
          <w:bCs/>
        </w:rPr>
        <w:t>Questions about propulsion fuels and technology</w:t>
      </w:r>
      <w:bookmarkEnd w:id="18"/>
    </w:p>
    <w:p w14:paraId="230403E6" w14:textId="698C35BC" w:rsidR="00EE30B8" w:rsidRPr="00CA2910" w:rsidRDefault="00EE30B8" w:rsidP="00C3161D">
      <w:pPr>
        <w:pStyle w:val="Heading3"/>
        <w:rPr>
          <w:rFonts w:eastAsia="MS Gothic"/>
          <w:u w:val="single"/>
        </w:rPr>
      </w:pPr>
      <w:bookmarkStart w:id="19" w:name="_Toc47190631"/>
      <w:r w:rsidRPr="00CA2910">
        <w:rPr>
          <w:u w:val="single"/>
        </w:rPr>
        <w:t>Does switching the LNG mean the asset is eligible?</w:t>
      </w:r>
      <w:bookmarkEnd w:id="19"/>
    </w:p>
    <w:p w14:paraId="7984177C" w14:textId="4D6D7250" w:rsidR="00397F83" w:rsidRDefault="00F65B97" w:rsidP="00AC6EA6">
      <w:pPr>
        <w:rPr>
          <w:rFonts w:cstheme="minorHAnsi"/>
          <w:sz w:val="22"/>
          <w:szCs w:val="22"/>
        </w:rPr>
      </w:pPr>
      <w:r w:rsidRPr="00AC6EA6">
        <w:rPr>
          <w:rFonts w:cstheme="minorHAnsi"/>
          <w:sz w:val="22"/>
          <w:szCs w:val="22"/>
        </w:rPr>
        <w:t xml:space="preserve">Assets using LNG as a marine fuel are included in scope, just as assets using any other fossil fuel (HFO, MDO, LSFO). </w:t>
      </w:r>
      <w:r w:rsidR="00E956AA" w:rsidRPr="00AC6EA6">
        <w:rPr>
          <w:rFonts w:cstheme="minorHAnsi"/>
          <w:sz w:val="22"/>
          <w:szCs w:val="22"/>
        </w:rPr>
        <w:t>An asset designed to initial</w:t>
      </w:r>
      <w:r w:rsidR="00397F83">
        <w:rPr>
          <w:rFonts w:cstheme="minorHAnsi"/>
          <w:sz w:val="22"/>
          <w:szCs w:val="22"/>
        </w:rPr>
        <w:t>ly</w:t>
      </w:r>
      <w:r w:rsidR="00E956AA" w:rsidRPr="00AC6EA6">
        <w:rPr>
          <w:rFonts w:cstheme="minorHAnsi"/>
          <w:sz w:val="22"/>
          <w:szCs w:val="22"/>
        </w:rPr>
        <w:t xml:space="preserve"> use fossil fuel </w:t>
      </w:r>
      <w:r>
        <w:rPr>
          <w:rFonts w:cstheme="minorHAnsi"/>
          <w:sz w:val="22"/>
          <w:szCs w:val="22"/>
        </w:rPr>
        <w:t>(or any fuel for that matter</w:t>
      </w:r>
      <w:r w:rsidR="00E956AA" w:rsidRPr="00AC6EA6">
        <w:rPr>
          <w:rFonts w:cstheme="minorHAnsi"/>
          <w:sz w:val="22"/>
          <w:szCs w:val="22"/>
        </w:rPr>
        <w:t xml:space="preserve">) can be eligible if it meets all the criteria. </w:t>
      </w:r>
    </w:p>
    <w:p w14:paraId="3DD2D849" w14:textId="77777777" w:rsidR="00397F83" w:rsidRDefault="00397F83" w:rsidP="00AC6EA6">
      <w:pPr>
        <w:rPr>
          <w:rFonts w:cstheme="minorHAnsi"/>
          <w:sz w:val="22"/>
          <w:szCs w:val="22"/>
        </w:rPr>
      </w:pPr>
    </w:p>
    <w:p w14:paraId="37F305FB" w14:textId="471C6C46" w:rsidR="00397F83" w:rsidRDefault="000951BD" w:rsidP="00AC6EA6">
      <w:pPr>
        <w:rPr>
          <w:rFonts w:cstheme="minorHAnsi"/>
          <w:sz w:val="22"/>
          <w:szCs w:val="22"/>
        </w:rPr>
      </w:pPr>
      <w:r>
        <w:rPr>
          <w:rFonts w:cstheme="minorHAnsi"/>
          <w:sz w:val="22"/>
          <w:szCs w:val="22"/>
        </w:rPr>
        <w:t xml:space="preserve">However, </w:t>
      </w:r>
      <w:r w:rsidRPr="000951BD">
        <w:rPr>
          <w:rFonts w:cstheme="minorHAnsi"/>
          <w:b/>
          <w:bCs/>
          <w:sz w:val="22"/>
          <w:szCs w:val="22"/>
        </w:rPr>
        <w:t>s</w:t>
      </w:r>
      <w:r w:rsidR="00F65B97" w:rsidRPr="000951BD">
        <w:rPr>
          <w:rFonts w:cstheme="minorHAnsi"/>
          <w:b/>
          <w:bCs/>
          <w:sz w:val="22"/>
          <w:szCs w:val="22"/>
        </w:rPr>
        <w:t>imply</w:t>
      </w:r>
      <w:r w:rsidR="00E956AA" w:rsidRPr="000951BD">
        <w:rPr>
          <w:rFonts w:cstheme="minorHAnsi"/>
          <w:b/>
          <w:bCs/>
          <w:sz w:val="22"/>
          <w:szCs w:val="22"/>
        </w:rPr>
        <w:t xml:space="preserve"> using </w:t>
      </w:r>
      <w:r w:rsidR="00EE30B8" w:rsidRPr="000951BD">
        <w:rPr>
          <w:rFonts w:cstheme="minorHAnsi"/>
          <w:b/>
          <w:bCs/>
          <w:sz w:val="22"/>
          <w:szCs w:val="22"/>
        </w:rPr>
        <w:t>LNG</w:t>
      </w:r>
      <w:r w:rsidR="00F65B97" w:rsidRPr="000951BD">
        <w:rPr>
          <w:rFonts w:cstheme="minorHAnsi"/>
          <w:b/>
          <w:bCs/>
          <w:sz w:val="22"/>
          <w:szCs w:val="22"/>
        </w:rPr>
        <w:t xml:space="preserve"> for propulsion</w:t>
      </w:r>
      <w:r w:rsidR="00EE30B8" w:rsidRPr="000951BD">
        <w:rPr>
          <w:rFonts w:cstheme="minorHAnsi"/>
          <w:b/>
          <w:bCs/>
          <w:sz w:val="22"/>
          <w:szCs w:val="22"/>
        </w:rPr>
        <w:t xml:space="preserve"> does not </w:t>
      </w:r>
      <w:r>
        <w:rPr>
          <w:rFonts w:cstheme="minorHAnsi"/>
          <w:b/>
          <w:bCs/>
          <w:sz w:val="22"/>
          <w:szCs w:val="22"/>
        </w:rPr>
        <w:t xml:space="preserve">automatically </w:t>
      </w:r>
      <w:r w:rsidR="00EE30B8" w:rsidRPr="000951BD">
        <w:rPr>
          <w:rFonts w:cstheme="minorHAnsi"/>
          <w:b/>
          <w:bCs/>
          <w:sz w:val="22"/>
          <w:szCs w:val="22"/>
        </w:rPr>
        <w:t>qualify you for certification</w:t>
      </w:r>
      <w:r w:rsidR="00EE30B8" w:rsidRPr="00AC6EA6">
        <w:rPr>
          <w:rFonts w:cstheme="minorHAnsi"/>
          <w:sz w:val="22"/>
          <w:szCs w:val="22"/>
        </w:rPr>
        <w:t xml:space="preserve">. </w:t>
      </w:r>
      <w:r w:rsidR="009148CF" w:rsidRPr="00AC6EA6">
        <w:rPr>
          <w:rFonts w:cstheme="minorHAnsi"/>
          <w:sz w:val="22"/>
          <w:szCs w:val="22"/>
        </w:rPr>
        <w:t xml:space="preserve">The vessel must still show that </w:t>
      </w:r>
      <w:r w:rsidR="00EE30B8" w:rsidRPr="00AC6EA6">
        <w:rPr>
          <w:rFonts w:cstheme="minorHAnsi"/>
          <w:sz w:val="22"/>
          <w:szCs w:val="22"/>
        </w:rPr>
        <w:t>emissions intensity is below the declining threshold</w:t>
      </w:r>
      <w:r w:rsidR="00397F83">
        <w:rPr>
          <w:rFonts w:cstheme="minorHAnsi"/>
          <w:sz w:val="22"/>
          <w:szCs w:val="22"/>
        </w:rPr>
        <w:t xml:space="preserve">. </w:t>
      </w:r>
    </w:p>
    <w:p w14:paraId="2E3B48F2" w14:textId="77777777" w:rsidR="00F65B97" w:rsidRPr="00397F83" w:rsidRDefault="00F65B97" w:rsidP="00AC6EA6">
      <w:pPr>
        <w:rPr>
          <w:rFonts w:cstheme="minorHAnsi"/>
          <w:sz w:val="22"/>
          <w:szCs w:val="22"/>
        </w:rPr>
      </w:pPr>
    </w:p>
    <w:p w14:paraId="365A16A7" w14:textId="77777777" w:rsidR="00F65B97" w:rsidRDefault="00F65B97" w:rsidP="00F65B97">
      <w:pPr>
        <w:rPr>
          <w:rFonts w:cstheme="minorHAnsi"/>
          <w:sz w:val="22"/>
          <w:szCs w:val="22"/>
        </w:rPr>
      </w:pPr>
      <w:r w:rsidRPr="00AC6EA6">
        <w:rPr>
          <w:rFonts w:cstheme="minorHAnsi"/>
          <w:sz w:val="22"/>
          <w:szCs w:val="22"/>
        </w:rPr>
        <w:lastRenderedPageBreak/>
        <w:t>At some point in the future, depending on the efficiency and efficiency improvement potential of the asset, switching to an alternative fuel may be necessary.</w:t>
      </w:r>
    </w:p>
    <w:p w14:paraId="3923D06C" w14:textId="77777777" w:rsidR="00F65B97" w:rsidRDefault="00F65B97" w:rsidP="00F65B97">
      <w:pPr>
        <w:rPr>
          <w:rFonts w:cstheme="minorHAnsi"/>
          <w:sz w:val="22"/>
          <w:szCs w:val="22"/>
        </w:rPr>
      </w:pPr>
    </w:p>
    <w:p w14:paraId="738FFD41" w14:textId="51D6D909" w:rsidR="00F65B97" w:rsidRDefault="00F65B97" w:rsidP="00F65B97">
      <w:pPr>
        <w:rPr>
          <w:rFonts w:cstheme="minorHAnsi"/>
          <w:sz w:val="22"/>
          <w:szCs w:val="22"/>
        </w:rPr>
      </w:pPr>
      <w:r w:rsidRPr="00397F83">
        <w:rPr>
          <w:rFonts w:cstheme="minorHAnsi"/>
          <w:sz w:val="22"/>
          <w:szCs w:val="22"/>
        </w:rPr>
        <w:t>Furthermore</w:t>
      </w:r>
      <w:r>
        <w:rPr>
          <w:rFonts w:cstheme="minorHAnsi"/>
          <w:sz w:val="22"/>
          <w:szCs w:val="22"/>
        </w:rPr>
        <w:t>,</w:t>
      </w:r>
      <w:r w:rsidRPr="00397F83">
        <w:rPr>
          <w:rFonts w:cstheme="minorHAnsi"/>
          <w:sz w:val="22"/>
          <w:szCs w:val="22"/>
        </w:rPr>
        <w:t xml:space="preserve"> even after the Certified bond matures, the issuer </w:t>
      </w:r>
      <w:r>
        <w:rPr>
          <w:rFonts w:cstheme="minorHAnsi"/>
          <w:sz w:val="22"/>
          <w:szCs w:val="22"/>
        </w:rPr>
        <w:t>must show that there are</w:t>
      </w:r>
      <w:r w:rsidRPr="00397F83">
        <w:rPr>
          <w:rFonts w:cstheme="minorHAnsi"/>
          <w:sz w:val="22"/>
          <w:szCs w:val="22"/>
        </w:rPr>
        <w:t xml:space="preserve"> plans to ensure that any asset that is not already net-zero emissions, will be upgraded or modified to use a fuel with a significantly lower carbon intensity (see the requirements for the Managed Reduction Plan for details</w:t>
      </w:r>
      <w:r>
        <w:rPr>
          <w:rFonts w:cstheme="minorHAnsi"/>
          <w:sz w:val="22"/>
          <w:szCs w:val="22"/>
        </w:rPr>
        <w:t>)</w:t>
      </w:r>
      <w:r w:rsidRPr="00397F83">
        <w:rPr>
          <w:rFonts w:cstheme="minorHAnsi"/>
          <w:sz w:val="22"/>
          <w:szCs w:val="22"/>
        </w:rPr>
        <w:t xml:space="preserve">. </w:t>
      </w:r>
    </w:p>
    <w:p w14:paraId="1F6790D8" w14:textId="77777777" w:rsidR="00F65B97" w:rsidRDefault="00F65B97" w:rsidP="00F65B97">
      <w:pPr>
        <w:rPr>
          <w:rFonts w:cstheme="minorHAnsi"/>
          <w:sz w:val="22"/>
          <w:szCs w:val="22"/>
        </w:rPr>
      </w:pPr>
    </w:p>
    <w:p w14:paraId="2F12D9D5" w14:textId="7EA8B3A1" w:rsidR="00397F83" w:rsidRDefault="00F65B97" w:rsidP="00F65B97">
      <w:pPr>
        <w:rPr>
          <w:rFonts w:cstheme="minorHAnsi"/>
          <w:sz w:val="22"/>
          <w:szCs w:val="22"/>
        </w:rPr>
      </w:pPr>
      <w:r w:rsidRPr="00AC6EA6">
        <w:rPr>
          <w:rFonts w:cstheme="minorHAnsi"/>
          <w:sz w:val="22"/>
          <w:szCs w:val="22"/>
        </w:rPr>
        <w:t xml:space="preserve">A number of fuels are eligible for inclusion in the Managed Reduction Plan, including biomethane if produced according to the definition of </w:t>
      </w:r>
      <w:r w:rsidR="008A79E7">
        <w:rPr>
          <w:rFonts w:cstheme="minorHAnsi"/>
          <w:sz w:val="22"/>
          <w:szCs w:val="22"/>
        </w:rPr>
        <w:t>A</w:t>
      </w:r>
      <w:r w:rsidRPr="00AC6EA6">
        <w:rPr>
          <w:rFonts w:cstheme="minorHAnsi"/>
          <w:sz w:val="22"/>
          <w:szCs w:val="22"/>
        </w:rPr>
        <w:t xml:space="preserve">dvanced </w:t>
      </w:r>
      <w:r w:rsidR="008A79E7">
        <w:rPr>
          <w:rFonts w:cstheme="minorHAnsi"/>
          <w:sz w:val="22"/>
          <w:szCs w:val="22"/>
        </w:rPr>
        <w:t>B</w:t>
      </w:r>
      <w:r w:rsidRPr="00AC6EA6">
        <w:rPr>
          <w:rFonts w:cstheme="minorHAnsi"/>
          <w:sz w:val="22"/>
          <w:szCs w:val="22"/>
        </w:rPr>
        <w:t>iofuel (</w:t>
      </w:r>
      <w:r w:rsidR="008A79E7">
        <w:rPr>
          <w:rFonts w:cstheme="minorHAnsi"/>
          <w:sz w:val="22"/>
          <w:szCs w:val="22"/>
        </w:rPr>
        <w:t>EU Renewable Energy Directive II (2018/2011))</w:t>
      </w:r>
      <w:r w:rsidR="002C38F5">
        <w:rPr>
          <w:rFonts w:cstheme="minorHAnsi"/>
          <w:sz w:val="22"/>
          <w:szCs w:val="22"/>
        </w:rPr>
        <w:t>.</w:t>
      </w:r>
      <w:r w:rsidRPr="00AC6EA6">
        <w:rPr>
          <w:rFonts w:cstheme="minorHAnsi"/>
          <w:sz w:val="22"/>
          <w:szCs w:val="22"/>
        </w:rPr>
        <w:t xml:space="preserve"> Alternatively</w:t>
      </w:r>
      <w:r w:rsidR="002C38F5">
        <w:rPr>
          <w:rFonts w:cstheme="minorHAnsi"/>
          <w:sz w:val="22"/>
          <w:szCs w:val="22"/>
        </w:rPr>
        <w:t>,</w:t>
      </w:r>
      <w:r w:rsidRPr="00AC6EA6">
        <w:rPr>
          <w:rFonts w:cstheme="minorHAnsi"/>
          <w:sz w:val="22"/>
          <w:szCs w:val="22"/>
        </w:rPr>
        <w:t xml:space="preserve"> the asset can be retrofitted to use a number of candidate zero emission fuels.</w:t>
      </w:r>
    </w:p>
    <w:p w14:paraId="5F2E9981" w14:textId="16B20996" w:rsidR="00CC6B26" w:rsidRPr="00CA2910" w:rsidRDefault="009148CF" w:rsidP="00C3161D">
      <w:pPr>
        <w:pStyle w:val="Heading3"/>
        <w:rPr>
          <w:i/>
          <w:iCs/>
          <w:u w:val="single"/>
        </w:rPr>
      </w:pPr>
      <w:r w:rsidRPr="00AC6EA6">
        <w:br/>
      </w:r>
      <w:bookmarkStart w:id="20" w:name="_Toc47190632"/>
      <w:r w:rsidR="00AA4FB9" w:rsidRPr="00CA2910">
        <w:rPr>
          <w:u w:val="single"/>
        </w:rPr>
        <w:t>A</w:t>
      </w:r>
      <w:r w:rsidR="00C553C8" w:rsidRPr="00CA2910">
        <w:rPr>
          <w:u w:val="single"/>
        </w:rPr>
        <w:t xml:space="preserve">re you proposing Ammonia as the end fuel solution? </w:t>
      </w:r>
      <w:r w:rsidR="00AA4FB9" w:rsidRPr="00CA2910">
        <w:rPr>
          <w:u w:val="single"/>
        </w:rPr>
        <w:t>Why?</w:t>
      </w:r>
      <w:bookmarkEnd w:id="20"/>
      <w:r w:rsidR="00CC6B26" w:rsidRPr="00CA2910">
        <w:rPr>
          <w:i/>
          <w:iCs/>
          <w:u w:val="single"/>
        </w:rPr>
        <w:t xml:space="preserve"> </w:t>
      </w:r>
    </w:p>
    <w:p w14:paraId="43369BC8" w14:textId="77777777" w:rsidR="00C3161D" w:rsidRPr="002C38F5" w:rsidRDefault="009148CF" w:rsidP="00AC6EA6">
      <w:pPr>
        <w:rPr>
          <w:rFonts w:cstheme="minorHAnsi"/>
          <w:sz w:val="22"/>
          <w:szCs w:val="22"/>
        </w:rPr>
      </w:pPr>
      <w:proofErr w:type="gramStart"/>
      <w:r w:rsidRPr="00AC6EA6">
        <w:rPr>
          <w:rFonts w:cstheme="minorHAnsi"/>
          <w:sz w:val="22"/>
          <w:szCs w:val="22"/>
        </w:rPr>
        <w:t>No</w:t>
      </w:r>
      <w:proofErr w:type="gramEnd"/>
      <w:r w:rsidRPr="00AC6EA6">
        <w:rPr>
          <w:rFonts w:cstheme="minorHAnsi"/>
          <w:sz w:val="22"/>
          <w:szCs w:val="22"/>
        </w:rPr>
        <w:t xml:space="preserve"> we are not proposing that one fuel or the other will be the ‘end fuel solution’, we </w:t>
      </w:r>
      <w:r w:rsidR="00CC6B26" w:rsidRPr="00AC6EA6">
        <w:rPr>
          <w:rFonts w:cstheme="minorHAnsi"/>
          <w:sz w:val="22"/>
          <w:szCs w:val="22"/>
        </w:rPr>
        <w:t xml:space="preserve">are only interested in whether an asset is able to perform below the emissions intensity threshold </w:t>
      </w:r>
      <w:r w:rsidR="00CC6B26" w:rsidRPr="002C38F5">
        <w:rPr>
          <w:rFonts w:cstheme="minorHAnsi"/>
          <w:sz w:val="22"/>
          <w:szCs w:val="22"/>
        </w:rPr>
        <w:t xml:space="preserve">throughout its lifetime. </w:t>
      </w:r>
    </w:p>
    <w:p w14:paraId="0FA1BCE4" w14:textId="77777777" w:rsidR="00C3161D" w:rsidRPr="002C38F5" w:rsidRDefault="00C3161D" w:rsidP="00AC6EA6">
      <w:pPr>
        <w:rPr>
          <w:rFonts w:cstheme="minorHAnsi"/>
          <w:sz w:val="22"/>
          <w:szCs w:val="22"/>
        </w:rPr>
      </w:pPr>
    </w:p>
    <w:p w14:paraId="4B53B27F" w14:textId="7426ADA2" w:rsidR="00AA4FB9" w:rsidRPr="00AC6EA6" w:rsidRDefault="00C3161D" w:rsidP="00AC6EA6">
      <w:pPr>
        <w:rPr>
          <w:rFonts w:cstheme="minorHAnsi"/>
          <w:sz w:val="22"/>
          <w:szCs w:val="22"/>
        </w:rPr>
      </w:pPr>
      <w:r w:rsidRPr="002C38F5">
        <w:rPr>
          <w:rFonts w:cstheme="minorHAnsi"/>
          <w:sz w:val="22"/>
          <w:szCs w:val="22"/>
        </w:rPr>
        <w:t xml:space="preserve">Furthermore, we recognise the importance of flexibility </w:t>
      </w:r>
      <w:r w:rsidR="008A79E7" w:rsidRPr="002C38F5">
        <w:rPr>
          <w:rFonts w:cstheme="minorHAnsi"/>
          <w:sz w:val="22"/>
          <w:szCs w:val="22"/>
        </w:rPr>
        <w:t>between fuel types, and encourage issuers to explain how their assets will be designed for multi-fuel solutions.</w:t>
      </w:r>
      <w:r w:rsidR="008A79E7">
        <w:rPr>
          <w:rFonts w:cstheme="minorHAnsi"/>
          <w:sz w:val="22"/>
          <w:szCs w:val="22"/>
        </w:rPr>
        <w:t xml:space="preserve"> </w:t>
      </w:r>
    </w:p>
    <w:p w14:paraId="6E846508" w14:textId="77777777" w:rsidR="00AA4FB9" w:rsidRPr="00AC6EA6" w:rsidRDefault="00AA4FB9" w:rsidP="00AC6EA6">
      <w:pPr>
        <w:rPr>
          <w:rFonts w:cstheme="minorHAnsi"/>
          <w:sz w:val="22"/>
          <w:szCs w:val="22"/>
        </w:rPr>
      </w:pPr>
    </w:p>
    <w:p w14:paraId="07B03120" w14:textId="5A96B082" w:rsidR="00CC6B26" w:rsidRPr="00AC6EA6" w:rsidRDefault="004E696D" w:rsidP="00AC6EA6">
      <w:pPr>
        <w:rPr>
          <w:rFonts w:cstheme="minorHAnsi"/>
          <w:sz w:val="22"/>
          <w:szCs w:val="22"/>
        </w:rPr>
      </w:pPr>
      <w:r w:rsidRPr="00AC6EA6">
        <w:rPr>
          <w:rFonts w:cstheme="minorHAnsi"/>
          <w:sz w:val="22"/>
          <w:szCs w:val="22"/>
        </w:rPr>
        <w:t xml:space="preserve">There is a list of eligible future fuels included in the details on the Managed Reduction Plan and the list will be reviewed and updated as further evidence on future fuels becomes available. </w:t>
      </w:r>
    </w:p>
    <w:p w14:paraId="612004F7" w14:textId="1BB0685D" w:rsidR="009148CF" w:rsidRDefault="00CC6B26" w:rsidP="00AC6EA6">
      <w:pPr>
        <w:rPr>
          <w:rFonts w:cstheme="minorHAnsi"/>
          <w:sz w:val="22"/>
          <w:szCs w:val="22"/>
        </w:rPr>
      </w:pPr>
      <w:r w:rsidRPr="00AC6EA6">
        <w:rPr>
          <w:rFonts w:cstheme="minorHAnsi"/>
          <w:sz w:val="22"/>
          <w:szCs w:val="22"/>
        </w:rPr>
        <w:br/>
        <w:t>The decision to keep LPG vessels in scope was to widen the applicability of these criteria as much as possible, without ensuring lock-in of fossil fuels (hence our exclusion of</w:t>
      </w:r>
      <w:r w:rsidR="00C3161D">
        <w:rPr>
          <w:rFonts w:cstheme="minorHAnsi"/>
          <w:sz w:val="22"/>
          <w:szCs w:val="22"/>
        </w:rPr>
        <w:t xml:space="preserve"> only</w:t>
      </w:r>
      <w:r w:rsidRPr="00AC6EA6">
        <w:rPr>
          <w:rFonts w:cstheme="minorHAnsi"/>
          <w:sz w:val="22"/>
          <w:szCs w:val="22"/>
        </w:rPr>
        <w:t xml:space="preserve"> ‘dedicated’ fossil fuel carriers). </w:t>
      </w:r>
    </w:p>
    <w:p w14:paraId="4B17B4E1" w14:textId="77777777" w:rsidR="00F65B97" w:rsidRPr="00AC6EA6" w:rsidRDefault="00F65B97" w:rsidP="00F65B97">
      <w:pPr>
        <w:rPr>
          <w:rFonts w:cstheme="minorHAnsi"/>
          <w:sz w:val="22"/>
          <w:szCs w:val="22"/>
        </w:rPr>
      </w:pPr>
    </w:p>
    <w:p w14:paraId="6782E850" w14:textId="77777777" w:rsidR="00F65B97" w:rsidRPr="00CA2910" w:rsidRDefault="00F65B97" w:rsidP="00F65B97">
      <w:pPr>
        <w:pStyle w:val="Heading3"/>
        <w:rPr>
          <w:u w:val="single"/>
        </w:rPr>
      </w:pPr>
      <w:bookmarkStart w:id="21" w:name="_Toc47190633"/>
      <w:r w:rsidRPr="00CA2910">
        <w:rPr>
          <w:u w:val="single"/>
        </w:rPr>
        <w:t>Are Methanol and Ethanol on the list of climate resilient fuels?</w:t>
      </w:r>
      <w:bookmarkEnd w:id="21"/>
    </w:p>
    <w:p w14:paraId="24173755" w14:textId="77777777" w:rsidR="00F65B97" w:rsidRDefault="00F65B97" w:rsidP="00F65B97">
      <w:pPr>
        <w:rPr>
          <w:rFonts w:cstheme="minorHAnsi"/>
          <w:sz w:val="22"/>
          <w:szCs w:val="22"/>
        </w:rPr>
      </w:pPr>
      <w:r>
        <w:rPr>
          <w:rFonts w:cstheme="minorHAnsi"/>
          <w:sz w:val="22"/>
          <w:szCs w:val="22"/>
        </w:rPr>
        <w:t>M</w:t>
      </w:r>
      <w:r w:rsidRPr="00AC6EA6">
        <w:rPr>
          <w:rFonts w:cstheme="minorHAnsi"/>
          <w:sz w:val="22"/>
          <w:szCs w:val="22"/>
        </w:rPr>
        <w:t xml:space="preserve">ethanol and ethanol as biofuels are included (as products from bioenergy feedstocks that would be eligible as Advanced Bioenergy). </w:t>
      </w:r>
    </w:p>
    <w:p w14:paraId="3D9C44A8" w14:textId="2F02A631" w:rsidR="00F65B97" w:rsidRDefault="00F65B97" w:rsidP="00F65B97">
      <w:pPr>
        <w:rPr>
          <w:rFonts w:cstheme="minorHAnsi"/>
          <w:sz w:val="22"/>
          <w:szCs w:val="22"/>
          <w:highlight w:val="yellow"/>
        </w:rPr>
      </w:pPr>
    </w:p>
    <w:p w14:paraId="4EBFA1FE" w14:textId="1A77FD97" w:rsidR="00F65B97" w:rsidRPr="00CA2910" w:rsidRDefault="00F65B97" w:rsidP="00CA2910">
      <w:pPr>
        <w:pStyle w:val="Heading3"/>
        <w:rPr>
          <w:u w:val="single"/>
        </w:rPr>
      </w:pPr>
      <w:bookmarkStart w:id="22" w:name="_Toc47190634"/>
      <w:r w:rsidRPr="00CA2910">
        <w:rPr>
          <w:u w:val="single"/>
        </w:rPr>
        <w:t>Why are synthetic hydrocarbons and alcohols not included in the list of eligible zero emission fuels?</w:t>
      </w:r>
      <w:bookmarkEnd w:id="22"/>
    </w:p>
    <w:p w14:paraId="28B665EA" w14:textId="77777777" w:rsidR="00F65B97" w:rsidRDefault="00F65B97" w:rsidP="00F65B97">
      <w:pPr>
        <w:rPr>
          <w:rFonts w:cstheme="minorHAnsi"/>
          <w:sz w:val="22"/>
          <w:szCs w:val="22"/>
        </w:rPr>
      </w:pPr>
      <w:r w:rsidRPr="00AC6EA6">
        <w:rPr>
          <w:rFonts w:cstheme="minorHAnsi"/>
          <w:sz w:val="22"/>
          <w:szCs w:val="22"/>
        </w:rPr>
        <w:t xml:space="preserve">Synthetic hydrocarbons and alcohols are produced by combining very low / zero carbon sources of both hydrogen and carbon, and in the case of synthetic alcohol, oxygen. This is as opposed to an extraction and refining process for the hydrocarbons used today. </w:t>
      </w:r>
    </w:p>
    <w:p w14:paraId="78709746" w14:textId="77777777" w:rsidR="00F65B97" w:rsidRDefault="00F65B97" w:rsidP="00F65B97">
      <w:pPr>
        <w:rPr>
          <w:rFonts w:cstheme="minorHAnsi"/>
          <w:sz w:val="22"/>
          <w:szCs w:val="22"/>
        </w:rPr>
      </w:pPr>
    </w:p>
    <w:p w14:paraId="12684D65" w14:textId="22D96B62" w:rsidR="00F65B97" w:rsidRDefault="00F65B97" w:rsidP="00F65B97">
      <w:pPr>
        <w:rPr>
          <w:rFonts w:cstheme="minorHAnsi"/>
          <w:sz w:val="22"/>
          <w:szCs w:val="22"/>
        </w:rPr>
      </w:pPr>
      <w:r w:rsidRPr="00AC6EA6">
        <w:rPr>
          <w:rFonts w:cstheme="minorHAnsi"/>
          <w:sz w:val="22"/>
          <w:szCs w:val="22"/>
        </w:rPr>
        <w:t>However</w:t>
      </w:r>
      <w:r w:rsidR="00C400BC">
        <w:rPr>
          <w:rFonts w:cstheme="minorHAnsi"/>
          <w:sz w:val="22"/>
          <w:szCs w:val="22"/>
        </w:rPr>
        <w:t xml:space="preserve">, based </w:t>
      </w:r>
      <w:r w:rsidRPr="00AC6EA6">
        <w:rPr>
          <w:rFonts w:cstheme="minorHAnsi"/>
          <w:sz w:val="22"/>
          <w:szCs w:val="22"/>
        </w:rPr>
        <w:t xml:space="preserve">on current evidence, synthetic hydrocarbons are not likely to be cost-competitive zero emission fuels. If they are produced using carbon captured from fossil fuel use (e.g. including the emissions from a gas power station or from plastics </w:t>
      </w:r>
      <w:proofErr w:type="spellStart"/>
      <w:r w:rsidRPr="00AC6EA6">
        <w:rPr>
          <w:rFonts w:cstheme="minorHAnsi"/>
          <w:sz w:val="22"/>
          <w:szCs w:val="22"/>
        </w:rPr>
        <w:t>recyclate</w:t>
      </w:r>
      <w:proofErr w:type="spellEnd"/>
      <w:r w:rsidRPr="00AC6EA6">
        <w:rPr>
          <w:rFonts w:cstheme="minorHAnsi"/>
          <w:sz w:val="22"/>
          <w:szCs w:val="22"/>
        </w:rPr>
        <w:t xml:space="preserve">), then they are not zero emission fuels. There may be some other sources of supply of non-fossil carbon but the evidence at present is that these will be limited and therefore will become supply and price constrained in the event of any volume demand. </w:t>
      </w:r>
    </w:p>
    <w:p w14:paraId="466DE3FF" w14:textId="77777777" w:rsidR="00F65B97" w:rsidRDefault="00F65B97" w:rsidP="00F65B97">
      <w:pPr>
        <w:rPr>
          <w:rFonts w:cstheme="minorHAnsi"/>
          <w:sz w:val="22"/>
          <w:szCs w:val="22"/>
        </w:rPr>
      </w:pPr>
    </w:p>
    <w:p w14:paraId="00D09258" w14:textId="77777777" w:rsidR="00F65B97" w:rsidRPr="00AC6EA6" w:rsidRDefault="00F65B97" w:rsidP="00F65B97">
      <w:pPr>
        <w:rPr>
          <w:rFonts w:cstheme="minorHAnsi"/>
          <w:sz w:val="22"/>
          <w:szCs w:val="22"/>
        </w:rPr>
      </w:pPr>
      <w:r w:rsidRPr="00AC6EA6">
        <w:rPr>
          <w:rFonts w:cstheme="minorHAnsi"/>
          <w:sz w:val="22"/>
          <w:szCs w:val="22"/>
        </w:rPr>
        <w:t xml:space="preserve">Given other zero emission fuels have much higher production scalability (e.g. hydrogen, ammonia, electricity), the expected competitive disadvantage for synthetic hydrocarbons and alcohols under current technology, is assumed to mean that they will not receive significant investment. Under current evidence, relying on synthetic hydrocarbons/alcohols as a future fuel therefore presents a risk that the asset will need a significant and unplanned for retrofit in order to ensure they are </w:t>
      </w:r>
      <w:r w:rsidRPr="00AC6EA6">
        <w:rPr>
          <w:rFonts w:cstheme="minorHAnsi"/>
          <w:sz w:val="22"/>
          <w:szCs w:val="22"/>
        </w:rPr>
        <w:lastRenderedPageBreak/>
        <w:t xml:space="preserve">compatible with the zero emission fuels which do become available in large volumes. These assumptions will be reviewed as evidence on future fuels increases. </w:t>
      </w:r>
    </w:p>
    <w:p w14:paraId="0B3F5CE8" w14:textId="18DBD9CB" w:rsidR="00F65B97" w:rsidRDefault="00F65B97" w:rsidP="00AC6EA6">
      <w:pPr>
        <w:rPr>
          <w:rFonts w:eastAsia="Times New Roman" w:cstheme="minorHAnsi"/>
          <w:sz w:val="22"/>
          <w:szCs w:val="22"/>
          <w:lang w:eastAsia="en-GB"/>
        </w:rPr>
      </w:pPr>
    </w:p>
    <w:p w14:paraId="36A8936C" w14:textId="241D1AF3" w:rsidR="00F65B97" w:rsidRPr="00CA2910" w:rsidRDefault="00F65B97" w:rsidP="00CA2910">
      <w:pPr>
        <w:pStyle w:val="Heading2"/>
        <w:rPr>
          <w:rFonts w:eastAsia="Times New Roman"/>
          <w:b/>
          <w:bCs/>
          <w:lang w:eastAsia="en-GB"/>
        </w:rPr>
      </w:pPr>
      <w:bookmarkStart w:id="23" w:name="_Toc47190635"/>
      <w:r w:rsidRPr="00CA2910">
        <w:rPr>
          <w:rFonts w:eastAsia="Times New Roman"/>
          <w:b/>
          <w:bCs/>
          <w:lang w:eastAsia="en-GB"/>
        </w:rPr>
        <w:t>Questions on metrics:</w:t>
      </w:r>
      <w:bookmarkEnd w:id="23"/>
    </w:p>
    <w:p w14:paraId="0C484441" w14:textId="0D7EC715" w:rsidR="003B3F5F" w:rsidRPr="00CA2910" w:rsidRDefault="00F65B97" w:rsidP="00CA2910">
      <w:pPr>
        <w:pStyle w:val="Heading3"/>
        <w:rPr>
          <w:rFonts w:eastAsia="Times New Roman"/>
          <w:u w:val="single"/>
          <w:shd w:val="clear" w:color="auto" w:fill="FFFFFF"/>
          <w:lang w:eastAsia="en-GB"/>
        </w:rPr>
      </w:pPr>
      <w:bookmarkStart w:id="24" w:name="_Toc47190636"/>
      <w:r w:rsidRPr="00CA2910">
        <w:rPr>
          <w:rFonts w:eastAsia="Times New Roman"/>
          <w:u w:val="single"/>
          <w:shd w:val="clear" w:color="auto" w:fill="FFFFFF"/>
          <w:lang w:eastAsia="en-GB"/>
        </w:rPr>
        <w:t>The criteria require that</w:t>
      </w:r>
      <w:r w:rsidR="005E2789" w:rsidRPr="00CA2910">
        <w:rPr>
          <w:rFonts w:eastAsia="Times New Roman"/>
          <w:u w:val="single"/>
          <w:shd w:val="clear" w:color="auto" w:fill="FFFFFF"/>
          <w:lang w:eastAsia="en-GB"/>
        </w:rPr>
        <w:t xml:space="preserve"> “design deadweight” is used. </w:t>
      </w:r>
      <w:r w:rsidR="003B3F5F" w:rsidRPr="00CA2910">
        <w:rPr>
          <w:rFonts w:eastAsia="Times New Roman"/>
          <w:u w:val="single"/>
          <w:shd w:val="clear" w:color="auto" w:fill="FFFFFF"/>
          <w:lang w:eastAsia="en-GB"/>
        </w:rPr>
        <w:t>Are you referring to the</w:t>
      </w:r>
      <w:r w:rsidR="005E2789" w:rsidRPr="00CA2910">
        <w:rPr>
          <w:rFonts w:eastAsia="Times New Roman"/>
          <w:u w:val="single"/>
          <w:shd w:val="clear" w:color="auto" w:fill="FFFFFF"/>
          <w:lang w:eastAsia="en-GB"/>
        </w:rPr>
        <w:t xml:space="preserve"> dwt that corresponds to the design draft or the deadweight that corresponds to the scantling draft</w:t>
      </w:r>
      <w:r w:rsidR="00CA2910" w:rsidRPr="00CA2910">
        <w:rPr>
          <w:rFonts w:eastAsia="Times New Roman"/>
          <w:u w:val="single"/>
          <w:shd w:val="clear" w:color="auto" w:fill="FFFFFF"/>
          <w:lang w:eastAsia="en-GB"/>
        </w:rPr>
        <w:t>?</w:t>
      </w:r>
      <w:bookmarkEnd w:id="24"/>
      <w:r w:rsidRPr="00CA2910">
        <w:rPr>
          <w:rFonts w:eastAsia="Times New Roman"/>
          <w:u w:val="single"/>
          <w:shd w:val="clear" w:color="auto" w:fill="FFFFFF"/>
          <w:lang w:eastAsia="en-GB"/>
        </w:rPr>
        <w:t xml:space="preserve"> </w:t>
      </w:r>
      <w:r w:rsidR="005E2789" w:rsidRPr="00CA2910">
        <w:rPr>
          <w:rFonts w:eastAsia="Times New Roman"/>
          <w:u w:val="single"/>
          <w:shd w:val="clear" w:color="auto" w:fill="FFFFFF"/>
          <w:lang w:eastAsia="en-GB"/>
        </w:rPr>
        <w:t xml:space="preserve"> </w:t>
      </w:r>
    </w:p>
    <w:p w14:paraId="08F7DDF8" w14:textId="5E95B7E8" w:rsidR="00F65B97" w:rsidRDefault="0018791F" w:rsidP="00AC6EA6">
      <w:pPr>
        <w:rPr>
          <w:rFonts w:eastAsia="Times New Roman" w:cstheme="minorHAnsi"/>
          <w:color w:val="222222"/>
          <w:sz w:val="22"/>
          <w:szCs w:val="22"/>
          <w:shd w:val="clear" w:color="auto" w:fill="FFFFFF"/>
          <w:lang w:eastAsia="en-GB"/>
        </w:rPr>
      </w:pPr>
      <w:r w:rsidRPr="00AC6EA6">
        <w:rPr>
          <w:rFonts w:eastAsia="Times New Roman" w:cstheme="minorHAnsi"/>
          <w:color w:val="222222"/>
          <w:sz w:val="22"/>
          <w:szCs w:val="22"/>
          <w:shd w:val="clear" w:color="auto" w:fill="FFFFFF"/>
          <w:lang w:eastAsia="en-GB"/>
        </w:rPr>
        <w:t xml:space="preserve">The scantling draft is </w:t>
      </w:r>
      <w:r w:rsidR="00F65B97">
        <w:rPr>
          <w:rFonts w:eastAsia="Times New Roman" w:cstheme="minorHAnsi"/>
          <w:color w:val="222222"/>
          <w:sz w:val="22"/>
          <w:szCs w:val="22"/>
          <w:shd w:val="clear" w:color="auto" w:fill="FFFFFF"/>
          <w:lang w:eastAsia="en-GB"/>
        </w:rPr>
        <w:t>required</w:t>
      </w:r>
      <w:r w:rsidRPr="00AC6EA6">
        <w:rPr>
          <w:rFonts w:eastAsia="Times New Roman" w:cstheme="minorHAnsi"/>
          <w:color w:val="222222"/>
          <w:sz w:val="22"/>
          <w:szCs w:val="22"/>
          <w:shd w:val="clear" w:color="auto" w:fill="FFFFFF"/>
          <w:lang w:eastAsia="en-GB"/>
        </w:rPr>
        <w:t xml:space="preserve"> for calculation</w:t>
      </w:r>
      <w:r w:rsidR="00F65B97">
        <w:rPr>
          <w:rFonts w:eastAsia="Times New Roman" w:cstheme="minorHAnsi"/>
          <w:color w:val="222222"/>
          <w:sz w:val="22"/>
          <w:szCs w:val="22"/>
          <w:shd w:val="clear" w:color="auto" w:fill="FFFFFF"/>
          <w:lang w:eastAsia="en-GB"/>
        </w:rPr>
        <w:t>, this is</w:t>
      </w:r>
      <w:r w:rsidRPr="00AC6EA6">
        <w:rPr>
          <w:rFonts w:eastAsia="Times New Roman" w:cstheme="minorHAnsi"/>
          <w:color w:val="222222"/>
          <w:sz w:val="22"/>
          <w:szCs w:val="22"/>
          <w:shd w:val="clear" w:color="auto" w:fill="FFFFFF"/>
          <w:lang w:eastAsia="en-GB"/>
        </w:rPr>
        <w:t xml:space="preserve"> consistent with </w:t>
      </w:r>
      <w:r w:rsidR="005E2789" w:rsidRPr="00AC6EA6">
        <w:rPr>
          <w:rFonts w:eastAsia="Times New Roman" w:cstheme="minorHAnsi"/>
          <w:color w:val="222222"/>
          <w:sz w:val="22"/>
          <w:szCs w:val="22"/>
          <w:shd w:val="clear" w:color="auto" w:fill="FFFFFF"/>
          <w:lang w:eastAsia="en-GB"/>
        </w:rPr>
        <w:t>the Poseidon Principles.</w:t>
      </w:r>
      <w:r w:rsidR="005E2789" w:rsidRPr="00AC6EA6">
        <w:rPr>
          <w:rFonts w:eastAsia="Times New Roman" w:cstheme="minorHAnsi"/>
          <w:color w:val="222222"/>
          <w:sz w:val="22"/>
          <w:szCs w:val="22"/>
          <w:lang w:eastAsia="en-GB"/>
        </w:rPr>
        <w:br/>
      </w:r>
    </w:p>
    <w:p w14:paraId="7CCA2881" w14:textId="77777777" w:rsidR="00C400BC" w:rsidRDefault="00C400BC" w:rsidP="00C400BC">
      <w:pPr>
        <w:pStyle w:val="Heading3"/>
        <w:rPr>
          <w:rFonts w:asciiTheme="minorHAnsi" w:eastAsia="Times New Roman" w:hAnsiTheme="minorHAnsi" w:cstheme="minorHAnsi"/>
          <w:color w:val="222222"/>
          <w:sz w:val="22"/>
          <w:szCs w:val="22"/>
          <w:shd w:val="clear" w:color="auto" w:fill="FFFFFF"/>
          <w:lang w:eastAsia="en-GB"/>
        </w:rPr>
      </w:pPr>
      <w:bookmarkStart w:id="25" w:name="_Toc47190639"/>
      <w:r w:rsidRPr="00CA2910">
        <w:rPr>
          <w:rFonts w:eastAsia="Times New Roman"/>
          <w:u w:val="single"/>
          <w:shd w:val="clear" w:color="auto" w:fill="FFFFFF"/>
          <w:lang w:eastAsia="en-GB"/>
        </w:rPr>
        <w:t xml:space="preserve">Why are you using tank-to-wake metrics instead of well-to-wake metrics? </w:t>
      </w:r>
      <w:r>
        <w:rPr>
          <w:rFonts w:eastAsia="Times New Roman" w:cstheme="minorHAnsi"/>
          <w:color w:val="222222"/>
          <w:sz w:val="22"/>
          <w:szCs w:val="22"/>
          <w:shd w:val="clear" w:color="auto" w:fill="FFFFFF"/>
          <w:lang w:eastAsia="en-GB"/>
        </w:rPr>
        <w:br/>
      </w:r>
      <w:r>
        <w:rPr>
          <w:rFonts w:asciiTheme="minorHAnsi" w:eastAsia="Times New Roman" w:hAnsiTheme="minorHAnsi" w:cstheme="minorHAnsi"/>
          <w:color w:val="222222"/>
          <w:sz w:val="22"/>
          <w:szCs w:val="22"/>
          <w:shd w:val="clear" w:color="auto" w:fill="FFFFFF"/>
          <w:lang w:eastAsia="en-GB"/>
        </w:rPr>
        <w:t>W</w:t>
      </w:r>
      <w:r w:rsidRPr="00CA2910">
        <w:rPr>
          <w:rFonts w:asciiTheme="minorHAnsi" w:eastAsia="Times New Roman" w:hAnsiTheme="minorHAnsi" w:cstheme="minorHAnsi"/>
          <w:color w:val="222222"/>
          <w:sz w:val="22"/>
          <w:szCs w:val="22"/>
          <w:shd w:val="clear" w:color="auto" w:fill="FFFFFF"/>
          <w:lang w:eastAsia="en-GB"/>
        </w:rPr>
        <w:t xml:space="preserve">ell-to-wake metrics </w:t>
      </w:r>
      <w:r>
        <w:rPr>
          <w:rFonts w:asciiTheme="minorHAnsi" w:eastAsia="Times New Roman" w:hAnsiTheme="minorHAnsi" w:cstheme="minorHAnsi"/>
          <w:color w:val="222222"/>
          <w:sz w:val="22"/>
          <w:szCs w:val="22"/>
          <w:shd w:val="clear" w:color="auto" w:fill="FFFFFF"/>
          <w:lang w:eastAsia="en-GB"/>
        </w:rPr>
        <w:t>have their benefits</w:t>
      </w:r>
      <w:r w:rsidRPr="00CA2910">
        <w:rPr>
          <w:rFonts w:asciiTheme="minorHAnsi" w:eastAsia="Times New Roman" w:hAnsiTheme="minorHAnsi" w:cstheme="minorHAnsi"/>
          <w:color w:val="222222"/>
          <w:sz w:val="22"/>
          <w:szCs w:val="22"/>
          <w:shd w:val="clear" w:color="auto" w:fill="FFFFFF"/>
          <w:lang w:eastAsia="en-GB"/>
        </w:rPr>
        <w:t>. However, such metrics are currently unavailable. The CBI criteria require measurement, not estimation of emissions. Such measurement is not currently available for the upstream emissions associated with the different energy systems that the transition will require.</w:t>
      </w:r>
      <w:bookmarkEnd w:id="25"/>
      <w:r>
        <w:rPr>
          <w:rFonts w:asciiTheme="minorHAnsi" w:eastAsia="Times New Roman" w:hAnsiTheme="minorHAnsi" w:cstheme="minorHAnsi"/>
          <w:color w:val="222222"/>
          <w:sz w:val="22"/>
          <w:szCs w:val="22"/>
          <w:shd w:val="clear" w:color="auto" w:fill="FFFFFF"/>
          <w:lang w:eastAsia="en-GB"/>
        </w:rPr>
        <w:t xml:space="preserve"> </w:t>
      </w:r>
    </w:p>
    <w:p w14:paraId="7280D785" w14:textId="77777777" w:rsidR="00C400BC" w:rsidRDefault="00C400BC" w:rsidP="00C400BC">
      <w:pPr>
        <w:pStyle w:val="Heading3"/>
        <w:rPr>
          <w:rFonts w:asciiTheme="minorHAnsi" w:eastAsia="Times New Roman" w:hAnsiTheme="minorHAnsi" w:cstheme="minorHAnsi"/>
          <w:color w:val="222222"/>
          <w:sz w:val="22"/>
          <w:szCs w:val="22"/>
          <w:shd w:val="clear" w:color="auto" w:fill="FFFFFF"/>
          <w:lang w:eastAsia="en-GB"/>
        </w:rPr>
      </w:pPr>
    </w:p>
    <w:p w14:paraId="30BD2E1A" w14:textId="448EF042" w:rsidR="00C400BC" w:rsidRPr="00C400BC" w:rsidRDefault="00C400BC" w:rsidP="00C400BC">
      <w:pPr>
        <w:pStyle w:val="Heading3"/>
        <w:rPr>
          <w:rFonts w:asciiTheme="minorHAnsi" w:eastAsia="Times New Roman" w:hAnsiTheme="minorHAnsi" w:cstheme="minorHAnsi"/>
          <w:color w:val="222222"/>
          <w:sz w:val="22"/>
          <w:szCs w:val="22"/>
          <w:shd w:val="clear" w:color="auto" w:fill="FFFFFF"/>
          <w:lang w:eastAsia="en-GB"/>
        </w:rPr>
      </w:pPr>
      <w:bookmarkStart w:id="26" w:name="_Toc47190640"/>
      <w:r w:rsidRPr="002C38F5">
        <w:rPr>
          <w:rFonts w:asciiTheme="minorHAnsi" w:eastAsia="Times New Roman" w:hAnsiTheme="minorHAnsi" w:cstheme="minorHAnsi"/>
          <w:color w:val="222222"/>
          <w:sz w:val="22"/>
          <w:szCs w:val="22"/>
          <w:shd w:val="clear" w:color="auto" w:fill="FFFFFF"/>
          <w:lang w:eastAsia="en-GB"/>
        </w:rPr>
        <w:t>That said, the shipping criteria will be reviewed on a biennial basis and we look forward to incorporating a more robust metric.</w:t>
      </w:r>
      <w:bookmarkEnd w:id="26"/>
      <w:r w:rsidRPr="002C38F5">
        <w:rPr>
          <w:rFonts w:asciiTheme="minorHAnsi" w:eastAsia="Times New Roman" w:hAnsiTheme="minorHAnsi" w:cstheme="minorHAnsi"/>
          <w:color w:val="222222"/>
          <w:sz w:val="22"/>
          <w:szCs w:val="22"/>
          <w:shd w:val="clear" w:color="auto" w:fill="FFFFFF"/>
          <w:lang w:eastAsia="en-GB"/>
        </w:rPr>
        <w:t xml:space="preserve"> </w:t>
      </w:r>
    </w:p>
    <w:p w14:paraId="2BFDFA9A" w14:textId="77777777" w:rsidR="00C400BC" w:rsidRDefault="00C400BC" w:rsidP="00AC6EA6">
      <w:pPr>
        <w:rPr>
          <w:rFonts w:eastAsia="Times New Roman" w:cstheme="minorHAnsi"/>
          <w:color w:val="222222"/>
          <w:sz w:val="22"/>
          <w:szCs w:val="22"/>
          <w:shd w:val="clear" w:color="auto" w:fill="FFFFFF"/>
          <w:lang w:eastAsia="en-GB"/>
        </w:rPr>
      </w:pPr>
    </w:p>
    <w:p w14:paraId="3728C389" w14:textId="01584780" w:rsidR="00F65B97" w:rsidRPr="00CA2910" w:rsidRDefault="002C38F5" w:rsidP="00CA2910">
      <w:pPr>
        <w:pStyle w:val="Heading3"/>
        <w:rPr>
          <w:rFonts w:eastAsia="Times New Roman"/>
          <w:u w:val="single"/>
          <w:shd w:val="clear" w:color="auto" w:fill="FFFFFF"/>
          <w:lang w:eastAsia="en-GB"/>
        </w:rPr>
      </w:pPr>
      <w:bookmarkStart w:id="27" w:name="_Toc47190637"/>
      <w:r>
        <w:rPr>
          <w:rFonts w:eastAsia="Times New Roman"/>
          <w:u w:val="single"/>
          <w:shd w:val="clear" w:color="auto" w:fill="FFFFFF"/>
          <w:lang w:eastAsia="en-GB"/>
        </w:rPr>
        <w:t>How was the trajectory of the criteria produced</w:t>
      </w:r>
      <w:r w:rsidR="00F65B97" w:rsidRPr="00CA2910">
        <w:rPr>
          <w:rFonts w:eastAsia="Times New Roman"/>
          <w:u w:val="single"/>
          <w:shd w:val="clear" w:color="auto" w:fill="FFFFFF"/>
          <w:lang w:eastAsia="en-GB"/>
        </w:rPr>
        <w:t>?</w:t>
      </w:r>
      <w:bookmarkEnd w:id="27"/>
      <w:r w:rsidR="00F65B97" w:rsidRPr="00CA2910">
        <w:rPr>
          <w:rFonts w:eastAsia="Times New Roman"/>
          <w:u w:val="single"/>
          <w:shd w:val="clear" w:color="auto" w:fill="FFFFFF"/>
          <w:lang w:eastAsia="en-GB"/>
        </w:rPr>
        <w:t xml:space="preserve"> </w:t>
      </w:r>
    </w:p>
    <w:p w14:paraId="050EE028" w14:textId="2042D223" w:rsidR="0018791F" w:rsidRPr="00AC6EA6" w:rsidRDefault="0018791F" w:rsidP="00AC6EA6">
      <w:pPr>
        <w:rPr>
          <w:rFonts w:eastAsia="Times New Roman" w:cstheme="minorHAnsi"/>
          <w:color w:val="222222"/>
          <w:sz w:val="22"/>
          <w:szCs w:val="22"/>
          <w:shd w:val="clear" w:color="auto" w:fill="FFFFFF"/>
          <w:lang w:eastAsia="en-GB"/>
        </w:rPr>
      </w:pPr>
      <w:r w:rsidRPr="00AC6EA6">
        <w:rPr>
          <w:rFonts w:eastAsia="Times New Roman" w:cstheme="minorHAnsi"/>
          <w:color w:val="222222"/>
          <w:sz w:val="22"/>
          <w:szCs w:val="22"/>
          <w:shd w:val="clear" w:color="auto" w:fill="FFFFFF"/>
          <w:lang w:eastAsia="en-GB"/>
        </w:rPr>
        <w:t>The linear decline/slope is a function of both</w:t>
      </w:r>
      <w:r w:rsidR="00F65B97">
        <w:rPr>
          <w:rFonts w:eastAsia="Times New Roman" w:cstheme="minorHAnsi"/>
          <w:color w:val="222222"/>
          <w:sz w:val="22"/>
          <w:szCs w:val="22"/>
          <w:shd w:val="clear" w:color="auto" w:fill="FFFFFF"/>
          <w:lang w:eastAsia="en-GB"/>
        </w:rPr>
        <w:t xml:space="preserve"> t</w:t>
      </w:r>
      <w:r w:rsidRPr="00AC6EA6">
        <w:rPr>
          <w:rFonts w:eastAsia="Times New Roman" w:cstheme="minorHAnsi"/>
          <w:color w:val="222222"/>
          <w:sz w:val="22"/>
          <w:szCs w:val="22"/>
          <w:shd w:val="clear" w:color="auto" w:fill="FFFFFF"/>
          <w:lang w:eastAsia="en-GB"/>
        </w:rPr>
        <w:t>he climate science which defines what would be required for a proportionate response by shipping to the overall mitigation challenge across the whole economy</w:t>
      </w:r>
      <w:r w:rsidR="00F65B97">
        <w:rPr>
          <w:rFonts w:eastAsia="Times New Roman" w:cstheme="minorHAnsi"/>
          <w:color w:val="222222"/>
          <w:sz w:val="22"/>
          <w:szCs w:val="22"/>
          <w:shd w:val="clear" w:color="auto" w:fill="FFFFFF"/>
          <w:lang w:eastAsia="en-GB"/>
        </w:rPr>
        <w:t xml:space="preserve"> and t</w:t>
      </w:r>
      <w:r w:rsidRPr="00AC6EA6">
        <w:rPr>
          <w:rFonts w:eastAsia="Times New Roman" w:cstheme="minorHAnsi"/>
          <w:color w:val="222222"/>
          <w:sz w:val="22"/>
          <w:szCs w:val="22"/>
          <w:shd w:val="clear" w:color="auto" w:fill="FFFFFF"/>
          <w:lang w:eastAsia="en-GB"/>
        </w:rPr>
        <w:t>he potential</w:t>
      </w:r>
      <w:r w:rsidR="00F65B97">
        <w:rPr>
          <w:rFonts w:eastAsia="Times New Roman" w:cstheme="minorHAnsi"/>
          <w:color w:val="222222"/>
          <w:sz w:val="22"/>
          <w:szCs w:val="22"/>
          <w:shd w:val="clear" w:color="auto" w:fill="FFFFFF"/>
          <w:lang w:eastAsia="en-GB"/>
        </w:rPr>
        <w:t xml:space="preserve"> </w:t>
      </w:r>
      <w:r w:rsidRPr="00AC6EA6">
        <w:rPr>
          <w:rFonts w:eastAsia="Times New Roman" w:cstheme="minorHAnsi"/>
          <w:color w:val="222222"/>
          <w:sz w:val="22"/>
          <w:szCs w:val="22"/>
          <w:shd w:val="clear" w:color="auto" w:fill="FFFFFF"/>
          <w:lang w:eastAsia="en-GB"/>
        </w:rPr>
        <w:t xml:space="preserve">pathway for GHG reduction </w:t>
      </w:r>
      <w:r w:rsidR="00F65B97">
        <w:rPr>
          <w:rFonts w:eastAsia="Times New Roman" w:cstheme="minorHAnsi"/>
          <w:color w:val="222222"/>
          <w:sz w:val="22"/>
          <w:szCs w:val="22"/>
          <w:shd w:val="clear" w:color="auto" w:fill="FFFFFF"/>
          <w:lang w:eastAsia="en-GB"/>
        </w:rPr>
        <w:t xml:space="preserve">in the </w:t>
      </w:r>
      <w:r w:rsidRPr="00AC6EA6">
        <w:rPr>
          <w:rFonts w:eastAsia="Times New Roman" w:cstheme="minorHAnsi"/>
          <w:color w:val="222222"/>
          <w:sz w:val="22"/>
          <w:szCs w:val="22"/>
          <w:shd w:val="clear" w:color="auto" w:fill="FFFFFF"/>
          <w:lang w:eastAsia="en-GB"/>
        </w:rPr>
        <w:t>shipping</w:t>
      </w:r>
      <w:r w:rsidR="00F65B97">
        <w:rPr>
          <w:rFonts w:eastAsia="Times New Roman" w:cstheme="minorHAnsi"/>
          <w:color w:val="222222"/>
          <w:sz w:val="22"/>
          <w:szCs w:val="22"/>
          <w:shd w:val="clear" w:color="auto" w:fill="FFFFFF"/>
          <w:lang w:eastAsia="en-GB"/>
        </w:rPr>
        <w:t xml:space="preserve"> sector.</w:t>
      </w:r>
    </w:p>
    <w:p w14:paraId="7F1FEFE4" w14:textId="77777777" w:rsidR="0018791F" w:rsidRPr="00AC6EA6" w:rsidRDefault="0018791F" w:rsidP="00AC6EA6">
      <w:pPr>
        <w:rPr>
          <w:rFonts w:eastAsia="Times New Roman" w:cstheme="minorHAnsi"/>
          <w:color w:val="222222"/>
          <w:sz w:val="22"/>
          <w:szCs w:val="22"/>
          <w:shd w:val="clear" w:color="auto" w:fill="FFFFFF"/>
          <w:lang w:eastAsia="en-GB"/>
        </w:rPr>
      </w:pPr>
    </w:p>
    <w:p w14:paraId="72FD2A59" w14:textId="77777777" w:rsidR="00F65B97" w:rsidRDefault="0018791F" w:rsidP="00AC6EA6">
      <w:pPr>
        <w:rPr>
          <w:rFonts w:eastAsia="Times New Roman" w:cstheme="minorHAnsi"/>
          <w:color w:val="222222"/>
          <w:sz w:val="22"/>
          <w:szCs w:val="22"/>
          <w:shd w:val="clear" w:color="auto" w:fill="FFFFFF"/>
          <w:lang w:eastAsia="en-GB"/>
        </w:rPr>
      </w:pPr>
      <w:r w:rsidRPr="00AC6EA6">
        <w:rPr>
          <w:rFonts w:eastAsia="Times New Roman" w:cstheme="minorHAnsi"/>
          <w:color w:val="222222"/>
          <w:sz w:val="22"/>
          <w:szCs w:val="22"/>
          <w:shd w:val="clear" w:color="auto" w:fill="FFFFFF"/>
          <w:lang w:eastAsia="en-GB"/>
        </w:rPr>
        <w:t xml:space="preserve">Temperature rise is a function of cumulative emissions. The pathway of emissions reduction is therefore as important as the year in which zero emissions is reached. The commonly referenced target (for all sectors) of zero emissions before 2050 is only aligned to the Paris Agreement temperature goals if accompanied with a high rate of reduction to that target. </w:t>
      </w:r>
    </w:p>
    <w:p w14:paraId="61CEA211" w14:textId="77777777" w:rsidR="00F65B97" w:rsidRDefault="00F65B97" w:rsidP="00AC6EA6">
      <w:pPr>
        <w:rPr>
          <w:rFonts w:eastAsia="Times New Roman" w:cstheme="minorHAnsi"/>
          <w:color w:val="222222"/>
          <w:sz w:val="22"/>
          <w:szCs w:val="22"/>
          <w:shd w:val="clear" w:color="auto" w:fill="FFFFFF"/>
          <w:lang w:eastAsia="en-GB"/>
        </w:rPr>
      </w:pPr>
    </w:p>
    <w:p w14:paraId="3203B19F" w14:textId="3ECB21BE" w:rsidR="002E7562" w:rsidRPr="00AC6EA6" w:rsidRDefault="0018791F" w:rsidP="00AC6EA6">
      <w:pPr>
        <w:rPr>
          <w:rFonts w:eastAsia="Times New Roman" w:cstheme="minorHAnsi"/>
          <w:color w:val="222222"/>
          <w:sz w:val="22"/>
          <w:szCs w:val="22"/>
          <w:shd w:val="clear" w:color="auto" w:fill="FFFFFF"/>
          <w:lang w:eastAsia="en-GB"/>
        </w:rPr>
      </w:pPr>
      <w:r w:rsidRPr="00AC6EA6">
        <w:rPr>
          <w:rFonts w:eastAsia="Times New Roman" w:cstheme="minorHAnsi"/>
          <w:color w:val="222222"/>
          <w:sz w:val="22"/>
          <w:szCs w:val="22"/>
          <w:shd w:val="clear" w:color="auto" w:fill="FFFFFF"/>
          <w:lang w:eastAsia="en-GB"/>
        </w:rPr>
        <w:t>Different climate models have some variance in exactly how steep the rate of reduction in emissions needs to be for different levels of certainty in achieving minimum temperature rise</w:t>
      </w:r>
      <w:r w:rsidR="002E7562" w:rsidRPr="00AC6EA6">
        <w:rPr>
          <w:rFonts w:eastAsia="Times New Roman" w:cstheme="minorHAnsi"/>
          <w:color w:val="222222"/>
          <w:sz w:val="22"/>
          <w:szCs w:val="22"/>
          <w:shd w:val="clear" w:color="auto" w:fill="FFFFFF"/>
          <w:lang w:eastAsia="en-GB"/>
        </w:rPr>
        <w:t>. And the exact contribution to the overall rate of GHG emission reduction from each sector is not easily definable. A linear reduction in carbon intensity may not be sufficient for an exactly proportionate response by shipping (e.g. a constant share of total GHG emissions), especially if seaborne trade grows rapidly over the coming decade</w:t>
      </w:r>
      <w:r w:rsidR="00F65B97">
        <w:rPr>
          <w:rFonts w:eastAsia="Times New Roman" w:cstheme="minorHAnsi"/>
          <w:color w:val="222222"/>
          <w:sz w:val="22"/>
          <w:szCs w:val="22"/>
          <w:shd w:val="clear" w:color="auto" w:fill="FFFFFF"/>
          <w:lang w:eastAsia="en-GB"/>
        </w:rPr>
        <w:t>.</w:t>
      </w:r>
      <w:r w:rsidR="002E7562" w:rsidRPr="00AC6EA6">
        <w:rPr>
          <w:rFonts w:eastAsia="Times New Roman" w:cstheme="minorHAnsi"/>
          <w:color w:val="222222"/>
          <w:sz w:val="22"/>
          <w:szCs w:val="22"/>
          <w:shd w:val="clear" w:color="auto" w:fill="FFFFFF"/>
          <w:lang w:eastAsia="en-GB"/>
        </w:rPr>
        <w:t xml:space="preserve"> </w:t>
      </w:r>
      <w:r w:rsidR="00F65B97">
        <w:rPr>
          <w:rFonts w:eastAsia="Times New Roman" w:cstheme="minorHAnsi"/>
          <w:color w:val="222222"/>
          <w:sz w:val="22"/>
          <w:szCs w:val="22"/>
          <w:shd w:val="clear" w:color="auto" w:fill="FFFFFF"/>
          <w:lang w:eastAsia="en-GB"/>
        </w:rPr>
        <w:t>B</w:t>
      </w:r>
      <w:r w:rsidR="002E7562" w:rsidRPr="00AC6EA6">
        <w:rPr>
          <w:rFonts w:eastAsia="Times New Roman" w:cstheme="minorHAnsi"/>
          <w:color w:val="222222"/>
          <w:sz w:val="22"/>
          <w:szCs w:val="22"/>
          <w:shd w:val="clear" w:color="auto" w:fill="FFFFFF"/>
          <w:lang w:eastAsia="en-GB"/>
        </w:rPr>
        <w:t>ut</w:t>
      </w:r>
      <w:r w:rsidR="00F65B97">
        <w:rPr>
          <w:rFonts w:eastAsia="Times New Roman" w:cstheme="minorHAnsi"/>
          <w:color w:val="222222"/>
          <w:sz w:val="22"/>
          <w:szCs w:val="22"/>
          <w:shd w:val="clear" w:color="auto" w:fill="FFFFFF"/>
          <w:lang w:eastAsia="en-GB"/>
        </w:rPr>
        <w:t xml:space="preserve"> it</w:t>
      </w:r>
      <w:r w:rsidR="002E7562" w:rsidRPr="00AC6EA6">
        <w:rPr>
          <w:rFonts w:eastAsia="Times New Roman" w:cstheme="minorHAnsi"/>
          <w:color w:val="222222"/>
          <w:sz w:val="22"/>
          <w:szCs w:val="22"/>
          <w:shd w:val="clear" w:color="auto" w:fill="FFFFFF"/>
          <w:lang w:eastAsia="en-GB"/>
        </w:rPr>
        <w:t xml:space="preserve"> strikes an appropriate compromise between some of the extremes of different models and pathway assumptions. </w:t>
      </w:r>
    </w:p>
    <w:p w14:paraId="5E866026" w14:textId="44476DF1" w:rsidR="0018791F" w:rsidRPr="00AC6EA6" w:rsidRDefault="0018791F" w:rsidP="00AC6EA6">
      <w:pPr>
        <w:rPr>
          <w:rFonts w:eastAsia="Times New Roman" w:cstheme="minorHAnsi"/>
          <w:color w:val="222222"/>
          <w:sz w:val="22"/>
          <w:szCs w:val="22"/>
          <w:shd w:val="clear" w:color="auto" w:fill="FFFFFF"/>
          <w:lang w:eastAsia="en-GB"/>
        </w:rPr>
      </w:pPr>
    </w:p>
    <w:p w14:paraId="691FA6F8" w14:textId="66B51828" w:rsidR="005E2789" w:rsidRPr="00AC6EA6" w:rsidRDefault="002E7562" w:rsidP="00AC6EA6">
      <w:pPr>
        <w:rPr>
          <w:rFonts w:eastAsia="Times New Roman" w:cstheme="minorHAnsi"/>
          <w:color w:val="222222"/>
          <w:sz w:val="22"/>
          <w:szCs w:val="22"/>
          <w:shd w:val="clear" w:color="auto" w:fill="FFFFFF"/>
          <w:lang w:eastAsia="en-GB"/>
        </w:rPr>
      </w:pPr>
      <w:r w:rsidRPr="00AC6EA6">
        <w:rPr>
          <w:rFonts w:eastAsia="Times New Roman" w:cstheme="minorHAnsi"/>
          <w:color w:val="222222"/>
          <w:sz w:val="22"/>
          <w:szCs w:val="22"/>
          <w:shd w:val="clear" w:color="auto" w:fill="FFFFFF"/>
          <w:lang w:eastAsia="en-GB"/>
        </w:rPr>
        <w:t xml:space="preserve">The pathway for each ship will differ, it can be a mix of efficiency improvements (technical and operational), and reductions in the carbon intensity of the fuel. A linear reduction pathway allows for some continued use of fossil fuels as marine fuels this decade, in combination with further energy efficiency improvements, but will necessitate a switch away from fossil fuels later in the decade. A linear carbon intensity reduction enables the switch from fossil fuels may be done gradually to manage cost and supply/availability. </w:t>
      </w:r>
      <w:r w:rsidR="005E2789" w:rsidRPr="00AC6EA6">
        <w:rPr>
          <w:rFonts w:eastAsia="Times New Roman" w:cstheme="minorHAnsi"/>
          <w:color w:val="222222"/>
          <w:sz w:val="22"/>
          <w:szCs w:val="22"/>
          <w:lang w:eastAsia="en-GB"/>
        </w:rPr>
        <w:br/>
      </w:r>
    </w:p>
    <w:p w14:paraId="568C0C81" w14:textId="56BE6A80" w:rsidR="00987100" w:rsidRPr="00CA2910" w:rsidRDefault="008A79E7" w:rsidP="00F65B97">
      <w:pPr>
        <w:pStyle w:val="Heading3"/>
        <w:rPr>
          <w:rFonts w:eastAsia="Times New Roman"/>
          <w:u w:val="single"/>
          <w:shd w:val="clear" w:color="auto" w:fill="FFFFFF"/>
          <w:lang w:eastAsia="en-GB"/>
        </w:rPr>
      </w:pPr>
      <w:bookmarkStart w:id="28" w:name="_Toc47190638"/>
      <w:r>
        <w:rPr>
          <w:rFonts w:eastAsia="Times New Roman"/>
          <w:u w:val="single"/>
          <w:shd w:val="clear" w:color="auto" w:fill="FFFFFF"/>
          <w:lang w:eastAsia="en-GB"/>
        </w:rPr>
        <w:t>What</w:t>
      </w:r>
      <w:r w:rsidR="005E2789" w:rsidRPr="00CA2910">
        <w:rPr>
          <w:rFonts w:eastAsia="Times New Roman"/>
          <w:u w:val="single"/>
          <w:shd w:val="clear" w:color="auto" w:fill="FFFFFF"/>
          <w:lang w:eastAsia="en-GB"/>
        </w:rPr>
        <w:t xml:space="preserve"> reference data </w:t>
      </w:r>
      <w:r>
        <w:rPr>
          <w:rFonts w:eastAsia="Times New Roman"/>
          <w:u w:val="single"/>
          <w:shd w:val="clear" w:color="auto" w:fill="FFFFFF"/>
          <w:lang w:eastAsia="en-GB"/>
        </w:rPr>
        <w:t>are y</w:t>
      </w:r>
      <w:r w:rsidR="005E2789" w:rsidRPr="00CA2910">
        <w:rPr>
          <w:rFonts w:eastAsia="Times New Roman"/>
          <w:u w:val="single"/>
          <w:shd w:val="clear" w:color="auto" w:fill="FFFFFF"/>
          <w:lang w:eastAsia="en-GB"/>
        </w:rPr>
        <w:t xml:space="preserve">our </w:t>
      </w:r>
      <w:r>
        <w:rPr>
          <w:rFonts w:eastAsia="Times New Roman"/>
          <w:u w:val="single"/>
          <w:shd w:val="clear" w:color="auto" w:fill="FFFFFF"/>
          <w:lang w:eastAsia="en-GB"/>
        </w:rPr>
        <w:t xml:space="preserve">emissions intensity </w:t>
      </w:r>
      <w:r w:rsidR="005E2789" w:rsidRPr="00CA2910">
        <w:rPr>
          <w:rFonts w:eastAsia="Times New Roman"/>
          <w:u w:val="single"/>
          <w:shd w:val="clear" w:color="auto" w:fill="FFFFFF"/>
          <w:lang w:eastAsia="en-GB"/>
        </w:rPr>
        <w:t xml:space="preserve">values </w:t>
      </w:r>
      <w:r>
        <w:rPr>
          <w:rFonts w:eastAsia="Times New Roman"/>
          <w:u w:val="single"/>
          <w:shd w:val="clear" w:color="auto" w:fill="FFFFFF"/>
          <w:lang w:eastAsia="en-GB"/>
        </w:rPr>
        <w:t>based on</w:t>
      </w:r>
      <w:r w:rsidR="005E2789" w:rsidRPr="00CA2910">
        <w:rPr>
          <w:rFonts w:eastAsia="Times New Roman"/>
          <w:u w:val="single"/>
          <w:shd w:val="clear" w:color="auto" w:fill="FFFFFF"/>
          <w:lang w:eastAsia="en-GB"/>
        </w:rPr>
        <w:t>?</w:t>
      </w:r>
      <w:bookmarkEnd w:id="28"/>
    </w:p>
    <w:p w14:paraId="2CA7B34E" w14:textId="48C79C95" w:rsidR="005E2789" w:rsidRDefault="002E7562" w:rsidP="00AC6EA6">
      <w:pPr>
        <w:rPr>
          <w:rFonts w:eastAsia="Times New Roman" w:cstheme="minorHAnsi"/>
          <w:color w:val="222222"/>
          <w:sz w:val="22"/>
          <w:szCs w:val="22"/>
          <w:shd w:val="clear" w:color="auto" w:fill="FFFFFF"/>
          <w:lang w:eastAsia="en-GB"/>
        </w:rPr>
      </w:pPr>
      <w:r w:rsidRPr="00AC6EA6">
        <w:rPr>
          <w:rFonts w:eastAsia="Times New Roman" w:cstheme="minorHAnsi"/>
          <w:color w:val="222222"/>
          <w:sz w:val="22"/>
          <w:szCs w:val="22"/>
          <w:shd w:val="clear" w:color="auto" w:fill="FFFFFF"/>
          <w:lang w:eastAsia="en-GB"/>
        </w:rPr>
        <w:t>The carbon intensity pathways are based on The Third IMO GHG Study and a subsequent report on carbon intensity produced using the same data: MEPC 68 inf. 24. They will be updated with information from The Fourth IMO GHG Study as appropriate.</w:t>
      </w:r>
    </w:p>
    <w:p w14:paraId="54787520" w14:textId="77777777" w:rsidR="002E7562" w:rsidRPr="00AC6EA6" w:rsidRDefault="002E7562" w:rsidP="00AC6EA6">
      <w:pPr>
        <w:rPr>
          <w:rFonts w:eastAsia="Times New Roman" w:cstheme="minorHAnsi"/>
          <w:color w:val="222222"/>
          <w:sz w:val="22"/>
          <w:szCs w:val="22"/>
          <w:shd w:val="clear" w:color="auto" w:fill="FFFFFF"/>
          <w:lang w:eastAsia="en-GB"/>
        </w:rPr>
      </w:pPr>
    </w:p>
    <w:p w14:paraId="025EE979" w14:textId="47799600" w:rsidR="005E2789" w:rsidRPr="00AC6EA6" w:rsidRDefault="005E2789" w:rsidP="00AC6EA6">
      <w:pPr>
        <w:rPr>
          <w:rFonts w:eastAsia="Times New Roman" w:cstheme="minorHAnsi"/>
          <w:sz w:val="22"/>
          <w:szCs w:val="22"/>
          <w:lang w:eastAsia="en-GB"/>
        </w:rPr>
      </w:pPr>
      <w:bookmarkStart w:id="29" w:name="_Toc47190641"/>
      <w:r w:rsidRPr="00CA2910">
        <w:rPr>
          <w:rStyle w:val="Heading3Char"/>
          <w:u w:val="single"/>
        </w:rPr>
        <w:t>Will your initial reference line be affected from the upcoming IMO GHG committee No4 scheduled to take place September/October 2020?</w:t>
      </w:r>
      <w:bookmarkEnd w:id="29"/>
      <w:r w:rsidR="00987100" w:rsidRPr="00CA2910">
        <w:rPr>
          <w:rFonts w:eastAsia="Times New Roman" w:cstheme="minorHAnsi"/>
          <w:color w:val="222222"/>
          <w:sz w:val="22"/>
          <w:szCs w:val="22"/>
          <w:shd w:val="clear" w:color="auto" w:fill="FFFFFF"/>
          <w:lang w:eastAsia="en-GB"/>
        </w:rPr>
        <w:br/>
      </w:r>
      <w:r w:rsidR="00987100" w:rsidRPr="00AC6EA6">
        <w:rPr>
          <w:rFonts w:eastAsia="Times New Roman" w:cstheme="minorHAnsi"/>
          <w:color w:val="222222"/>
          <w:sz w:val="22"/>
          <w:szCs w:val="22"/>
          <w:shd w:val="clear" w:color="auto" w:fill="FFFFFF"/>
          <w:lang w:eastAsia="en-GB"/>
        </w:rPr>
        <w:t xml:space="preserve">Yes, the Criteria will be reviewed and updated following the release of </w:t>
      </w:r>
      <w:r w:rsidR="004E696D" w:rsidRPr="00AC6EA6">
        <w:rPr>
          <w:rFonts w:eastAsia="Times New Roman" w:cstheme="minorHAnsi"/>
          <w:color w:val="222222"/>
          <w:sz w:val="22"/>
          <w:szCs w:val="22"/>
          <w:shd w:val="clear" w:color="auto" w:fill="FFFFFF"/>
          <w:lang w:eastAsia="en-GB"/>
        </w:rPr>
        <w:t>The Fourth IMO GHG Study.</w:t>
      </w:r>
    </w:p>
    <w:p w14:paraId="24F389D6" w14:textId="77777777" w:rsidR="00CA2910" w:rsidRDefault="00CA2910" w:rsidP="00F65B97">
      <w:pPr>
        <w:rPr>
          <w:rFonts w:cstheme="minorHAnsi"/>
          <w:sz w:val="22"/>
          <w:szCs w:val="22"/>
        </w:rPr>
      </w:pPr>
    </w:p>
    <w:p w14:paraId="4DEC9977" w14:textId="77777777" w:rsidR="00F65B97" w:rsidRPr="002C38F5" w:rsidRDefault="00F65B97" w:rsidP="00F65B97">
      <w:pPr>
        <w:pStyle w:val="Heading2"/>
        <w:rPr>
          <w:rFonts w:eastAsia="Times New Roman"/>
          <w:b/>
          <w:bCs/>
          <w:lang w:eastAsia="en-GB"/>
        </w:rPr>
      </w:pPr>
      <w:bookmarkStart w:id="30" w:name="_Toc47190642"/>
      <w:r w:rsidRPr="002C38F5">
        <w:rPr>
          <w:rFonts w:eastAsia="Times New Roman"/>
          <w:b/>
          <w:bCs/>
          <w:lang w:eastAsia="en-GB"/>
        </w:rPr>
        <w:t>What are the requirements for Wind Turbine Installation Vessels (WTIVs)?</w:t>
      </w:r>
      <w:bookmarkEnd w:id="30"/>
    </w:p>
    <w:p w14:paraId="08C85B4D" w14:textId="77777777" w:rsidR="00F65B97" w:rsidRPr="00AC6EA6" w:rsidRDefault="00F65B97" w:rsidP="00F65B97">
      <w:pPr>
        <w:rPr>
          <w:rFonts w:cstheme="minorHAnsi"/>
          <w:sz w:val="22"/>
          <w:szCs w:val="22"/>
        </w:rPr>
      </w:pPr>
      <w:r w:rsidRPr="00AC6EA6">
        <w:rPr>
          <w:rFonts w:cstheme="minorHAnsi"/>
          <w:sz w:val="22"/>
          <w:szCs w:val="22"/>
        </w:rPr>
        <w:t xml:space="preserve">During the development of the CBI Shipping criteria, the eligibility of WTIVs and Jack-up rigs was the subject of much discussion. </w:t>
      </w:r>
      <w:r w:rsidRPr="00AC6EA6">
        <w:rPr>
          <w:rFonts w:cstheme="minorHAnsi"/>
          <w:sz w:val="22"/>
          <w:szCs w:val="22"/>
        </w:rPr>
        <w:br/>
      </w:r>
      <w:r w:rsidRPr="00AC6EA6">
        <w:rPr>
          <w:rFonts w:cstheme="minorHAnsi"/>
          <w:sz w:val="22"/>
          <w:szCs w:val="22"/>
        </w:rPr>
        <w:br/>
        <w:t xml:space="preserve">On the one hand, provided that WTIVs and Jack-up rigs are dedicated to installation and maintenance of offshore wind energy facilities, then such vessels are providing a substantial contribution to the Paris Agreement because they are enabling electrification. </w:t>
      </w:r>
      <w:r w:rsidRPr="00AC6EA6">
        <w:rPr>
          <w:rFonts w:cstheme="minorHAnsi"/>
          <w:sz w:val="22"/>
          <w:szCs w:val="22"/>
        </w:rPr>
        <w:br/>
      </w:r>
      <w:r w:rsidRPr="00AC6EA6">
        <w:rPr>
          <w:rFonts w:cstheme="minorHAnsi"/>
          <w:sz w:val="22"/>
          <w:szCs w:val="22"/>
        </w:rPr>
        <w:br/>
        <w:t xml:space="preserve">On the other hand, we also recognise the need to accelerate the transition. In principle, a company directing capital towards renewable energy should also be electrifying its operations. In this sense, the requirement for these assets to be net-zero themselves was also considered. </w:t>
      </w:r>
    </w:p>
    <w:p w14:paraId="09635020" w14:textId="77777777" w:rsidR="00F65B97" w:rsidRPr="00AC6EA6" w:rsidRDefault="00F65B97" w:rsidP="00F65B97">
      <w:pPr>
        <w:rPr>
          <w:rFonts w:cstheme="minorHAnsi"/>
          <w:sz w:val="22"/>
          <w:szCs w:val="22"/>
        </w:rPr>
      </w:pPr>
    </w:p>
    <w:p w14:paraId="213BEBC9" w14:textId="0C48684B" w:rsidR="00F65B97" w:rsidRPr="00AC6EA6" w:rsidRDefault="00F65B97" w:rsidP="00F65B97">
      <w:pPr>
        <w:rPr>
          <w:rFonts w:cstheme="minorHAnsi"/>
          <w:sz w:val="22"/>
          <w:szCs w:val="22"/>
        </w:rPr>
      </w:pPr>
      <w:r w:rsidRPr="00AC6EA6">
        <w:rPr>
          <w:rFonts w:cstheme="minorHAnsi"/>
          <w:sz w:val="22"/>
          <w:szCs w:val="22"/>
        </w:rPr>
        <w:t>There is also a practical reason around establishing decarbonisation trajectories, and validation of the emissions. Unlike other types ships, WTIVs and Jack-up rigs do not report data and are not considered in detail in any of the IMO’s GHG studies. Thus, there is no data to establish a baseline for their current emissions intensity (as a fleet) and therefore what their decarbonisation trajectory would be, against which (validated) data could then be measured. While it is technically possible to develop a metric and threshold similar to the general Shipping Criteria, but this will be a costly solution.</w:t>
      </w:r>
    </w:p>
    <w:p w14:paraId="12D136AB" w14:textId="77777777" w:rsidR="00F65B97" w:rsidRPr="00AC6EA6" w:rsidRDefault="00F65B97" w:rsidP="00F65B97">
      <w:pPr>
        <w:rPr>
          <w:rFonts w:cstheme="minorHAnsi"/>
          <w:sz w:val="22"/>
          <w:szCs w:val="22"/>
        </w:rPr>
      </w:pPr>
    </w:p>
    <w:p w14:paraId="64231B22" w14:textId="27A8A82C" w:rsidR="00F65B97" w:rsidRPr="00AC6EA6" w:rsidRDefault="00F65B97" w:rsidP="00AC6EA6">
      <w:pPr>
        <w:rPr>
          <w:rFonts w:cstheme="minorHAnsi"/>
          <w:sz w:val="22"/>
          <w:szCs w:val="22"/>
        </w:rPr>
      </w:pPr>
      <w:r w:rsidRPr="00AC6EA6">
        <w:rPr>
          <w:rFonts w:cstheme="minorHAnsi"/>
          <w:sz w:val="22"/>
          <w:szCs w:val="22"/>
        </w:rPr>
        <w:t xml:space="preserve">Given these challenges, we have at this stage determined that all WTIVs and Jack-up rigs that are </w:t>
      </w:r>
      <w:r w:rsidRPr="00AC6EA6">
        <w:rPr>
          <w:rFonts w:cstheme="minorHAnsi"/>
          <w:i/>
          <w:iCs/>
          <w:sz w:val="22"/>
          <w:szCs w:val="22"/>
        </w:rPr>
        <w:t xml:space="preserve">dedicated </w:t>
      </w:r>
      <w:r w:rsidRPr="00AC6EA6">
        <w:rPr>
          <w:rFonts w:cstheme="minorHAnsi"/>
          <w:sz w:val="22"/>
          <w:szCs w:val="22"/>
        </w:rPr>
        <w:t>to the installation and operation of offshore wind energy, are eligible for certification.</w:t>
      </w:r>
      <w:r w:rsidR="002C38F5">
        <w:rPr>
          <w:rFonts w:cstheme="minorHAnsi"/>
          <w:sz w:val="22"/>
          <w:szCs w:val="22"/>
        </w:rPr>
        <w:t xml:space="preserve"> Please refer to CBI’s offshore renewable energy criteria for more information. </w:t>
      </w:r>
    </w:p>
    <w:sectPr w:rsidR="00F65B97" w:rsidRPr="00AC6EA6" w:rsidSect="006B282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D1385" w14:textId="77777777" w:rsidR="00217AC9" w:rsidRDefault="00217AC9" w:rsidP="000951BD">
      <w:r>
        <w:separator/>
      </w:r>
    </w:p>
  </w:endnote>
  <w:endnote w:type="continuationSeparator" w:id="0">
    <w:p w14:paraId="4891664F" w14:textId="77777777" w:rsidR="00217AC9" w:rsidRDefault="00217AC9" w:rsidP="00095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BA93A" w14:textId="77777777" w:rsidR="00217AC9" w:rsidRDefault="00217AC9" w:rsidP="000951BD">
      <w:r>
        <w:separator/>
      </w:r>
    </w:p>
  </w:footnote>
  <w:footnote w:type="continuationSeparator" w:id="0">
    <w:p w14:paraId="3C6B237E" w14:textId="77777777" w:rsidR="00217AC9" w:rsidRDefault="00217AC9" w:rsidP="00095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9D5FA6"/>
    <w:multiLevelType w:val="hybridMultilevel"/>
    <w:tmpl w:val="CF00CE06"/>
    <w:lvl w:ilvl="0" w:tplc="5F88723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246358"/>
    <w:multiLevelType w:val="hybridMultilevel"/>
    <w:tmpl w:val="102839EE"/>
    <w:lvl w:ilvl="0" w:tplc="41B64114">
      <w:start w:val="3"/>
      <w:numFmt w:val="bullet"/>
      <w:lvlText w:val="-"/>
      <w:lvlJc w:val="left"/>
      <w:pPr>
        <w:ind w:left="720" w:hanging="360"/>
      </w:pPr>
      <w:rPr>
        <w:rFonts w:ascii="AppleSystemUIFont" w:eastAsiaTheme="minorHAnsi" w:hAnsi="AppleSystemUIFont" w:cs="AppleSystemUIFo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1204C"/>
    <w:multiLevelType w:val="hybridMultilevel"/>
    <w:tmpl w:val="6DB652AE"/>
    <w:lvl w:ilvl="0" w:tplc="B066AD3C">
      <w:start w:val="3"/>
      <w:numFmt w:val="bullet"/>
      <w:lvlText w:val="-"/>
      <w:lvlJc w:val="left"/>
      <w:pPr>
        <w:ind w:left="720" w:hanging="360"/>
      </w:pPr>
      <w:rPr>
        <w:rFonts w:ascii="MS Gothic" w:eastAsia="MS Gothic" w:hAnsi="MS Gothic" w:cs="MS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B1262"/>
    <w:multiLevelType w:val="hybridMultilevel"/>
    <w:tmpl w:val="DE9C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E7B04"/>
    <w:multiLevelType w:val="hybridMultilevel"/>
    <w:tmpl w:val="5F6ADF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A6FE9"/>
    <w:multiLevelType w:val="multilevel"/>
    <w:tmpl w:val="0BBE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246D81"/>
    <w:multiLevelType w:val="hybridMultilevel"/>
    <w:tmpl w:val="BB0C3CE0"/>
    <w:lvl w:ilvl="0" w:tplc="7ED4FC9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2573E2"/>
    <w:multiLevelType w:val="hybridMultilevel"/>
    <w:tmpl w:val="E0BC3D18"/>
    <w:lvl w:ilvl="0" w:tplc="4BF8C13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4"/>
  </w:num>
  <w:num w:numId="6">
    <w:abstractNumId w:val="1"/>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B8"/>
    <w:rsid w:val="00053DB5"/>
    <w:rsid w:val="000951BD"/>
    <w:rsid w:val="001214B7"/>
    <w:rsid w:val="00182961"/>
    <w:rsid w:val="0018791F"/>
    <w:rsid w:val="001F6E12"/>
    <w:rsid w:val="00217AC9"/>
    <w:rsid w:val="00281FF9"/>
    <w:rsid w:val="002951EA"/>
    <w:rsid w:val="002C38F5"/>
    <w:rsid w:val="002E7562"/>
    <w:rsid w:val="00383008"/>
    <w:rsid w:val="00397F83"/>
    <w:rsid w:val="003B3F5F"/>
    <w:rsid w:val="003B68B0"/>
    <w:rsid w:val="004242ED"/>
    <w:rsid w:val="00467916"/>
    <w:rsid w:val="004B2542"/>
    <w:rsid w:val="004E696D"/>
    <w:rsid w:val="00553793"/>
    <w:rsid w:val="00562297"/>
    <w:rsid w:val="005A36F4"/>
    <w:rsid w:val="005E2789"/>
    <w:rsid w:val="006B2827"/>
    <w:rsid w:val="007700A6"/>
    <w:rsid w:val="008A79E7"/>
    <w:rsid w:val="009148CF"/>
    <w:rsid w:val="009841BA"/>
    <w:rsid w:val="00987100"/>
    <w:rsid w:val="00A472AB"/>
    <w:rsid w:val="00AA4FB9"/>
    <w:rsid w:val="00AC6EA6"/>
    <w:rsid w:val="00B20BC2"/>
    <w:rsid w:val="00B27526"/>
    <w:rsid w:val="00B35449"/>
    <w:rsid w:val="00BA7124"/>
    <w:rsid w:val="00BC2339"/>
    <w:rsid w:val="00BF1846"/>
    <w:rsid w:val="00C06718"/>
    <w:rsid w:val="00C3161D"/>
    <w:rsid w:val="00C400BC"/>
    <w:rsid w:val="00C553C8"/>
    <w:rsid w:val="00CA2910"/>
    <w:rsid w:val="00CC6B26"/>
    <w:rsid w:val="00DD17F4"/>
    <w:rsid w:val="00DF3584"/>
    <w:rsid w:val="00E03231"/>
    <w:rsid w:val="00E46074"/>
    <w:rsid w:val="00E956AA"/>
    <w:rsid w:val="00EB50A5"/>
    <w:rsid w:val="00EC2EE2"/>
    <w:rsid w:val="00EE30B8"/>
    <w:rsid w:val="00F65B97"/>
    <w:rsid w:val="00FB1217"/>
    <w:rsid w:val="00FC3065"/>
    <w:rsid w:val="00FF6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ED355"/>
  <w15:chartTrackingRefBased/>
  <w15:docId w15:val="{7B0781ED-485C-B14B-BB30-E6016229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6E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6E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C6EA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3C8"/>
    <w:pPr>
      <w:ind w:left="720"/>
      <w:contextualSpacing/>
    </w:pPr>
  </w:style>
  <w:style w:type="paragraph" w:styleId="NoSpacing">
    <w:name w:val="No Spacing"/>
    <w:uiPriority w:val="1"/>
    <w:qFormat/>
    <w:rsid w:val="009148CF"/>
  </w:style>
  <w:style w:type="character" w:styleId="CommentReference">
    <w:name w:val="annotation reference"/>
    <w:basedOn w:val="DefaultParagraphFont"/>
    <w:uiPriority w:val="99"/>
    <w:semiHidden/>
    <w:unhideWhenUsed/>
    <w:rsid w:val="00DD17F4"/>
    <w:rPr>
      <w:sz w:val="16"/>
      <w:szCs w:val="16"/>
    </w:rPr>
  </w:style>
  <w:style w:type="paragraph" w:styleId="CommentText">
    <w:name w:val="annotation text"/>
    <w:basedOn w:val="Normal"/>
    <w:link w:val="CommentTextChar"/>
    <w:uiPriority w:val="99"/>
    <w:semiHidden/>
    <w:unhideWhenUsed/>
    <w:rsid w:val="00DD17F4"/>
    <w:rPr>
      <w:sz w:val="20"/>
      <w:szCs w:val="20"/>
    </w:rPr>
  </w:style>
  <w:style w:type="character" w:customStyle="1" w:styleId="CommentTextChar">
    <w:name w:val="Comment Text Char"/>
    <w:basedOn w:val="DefaultParagraphFont"/>
    <w:link w:val="CommentText"/>
    <w:uiPriority w:val="99"/>
    <w:semiHidden/>
    <w:rsid w:val="00DD17F4"/>
    <w:rPr>
      <w:sz w:val="20"/>
      <w:szCs w:val="20"/>
    </w:rPr>
  </w:style>
  <w:style w:type="paragraph" w:styleId="CommentSubject">
    <w:name w:val="annotation subject"/>
    <w:basedOn w:val="CommentText"/>
    <w:next w:val="CommentText"/>
    <w:link w:val="CommentSubjectChar"/>
    <w:uiPriority w:val="99"/>
    <w:semiHidden/>
    <w:unhideWhenUsed/>
    <w:rsid w:val="00DD17F4"/>
    <w:rPr>
      <w:b/>
      <w:bCs/>
    </w:rPr>
  </w:style>
  <w:style w:type="character" w:customStyle="1" w:styleId="CommentSubjectChar">
    <w:name w:val="Comment Subject Char"/>
    <w:basedOn w:val="CommentTextChar"/>
    <w:link w:val="CommentSubject"/>
    <w:uiPriority w:val="99"/>
    <w:semiHidden/>
    <w:rsid w:val="00DD17F4"/>
    <w:rPr>
      <w:b/>
      <w:bCs/>
      <w:sz w:val="20"/>
      <w:szCs w:val="20"/>
    </w:rPr>
  </w:style>
  <w:style w:type="paragraph" w:styleId="BalloonText">
    <w:name w:val="Balloon Text"/>
    <w:basedOn w:val="Normal"/>
    <w:link w:val="BalloonTextChar"/>
    <w:uiPriority w:val="99"/>
    <w:semiHidden/>
    <w:unhideWhenUsed/>
    <w:rsid w:val="00DD17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17F4"/>
    <w:rPr>
      <w:rFonts w:ascii="Times New Roman" w:hAnsi="Times New Roman" w:cs="Times New Roman"/>
      <w:sz w:val="18"/>
      <w:szCs w:val="18"/>
    </w:rPr>
  </w:style>
  <w:style w:type="character" w:customStyle="1" w:styleId="Heading1Char">
    <w:name w:val="Heading 1 Char"/>
    <w:basedOn w:val="DefaultParagraphFont"/>
    <w:link w:val="Heading1"/>
    <w:uiPriority w:val="9"/>
    <w:rsid w:val="00AC6EA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C6EA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C6EA6"/>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FF6767"/>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FF6767"/>
    <w:rPr>
      <w:rFonts w:cstheme="minorHAnsi"/>
      <w:b/>
      <w:bCs/>
      <w:smallCaps/>
      <w:sz w:val="22"/>
      <w:szCs w:val="22"/>
    </w:rPr>
  </w:style>
  <w:style w:type="paragraph" w:styleId="TOC3">
    <w:name w:val="toc 3"/>
    <w:basedOn w:val="Normal"/>
    <w:next w:val="Normal"/>
    <w:autoRedefine/>
    <w:uiPriority w:val="39"/>
    <w:unhideWhenUsed/>
    <w:rsid w:val="00FF6767"/>
    <w:rPr>
      <w:rFonts w:cstheme="minorHAnsi"/>
      <w:smallCaps/>
      <w:sz w:val="22"/>
      <w:szCs w:val="22"/>
    </w:rPr>
  </w:style>
  <w:style w:type="paragraph" w:styleId="TOC4">
    <w:name w:val="toc 4"/>
    <w:basedOn w:val="Normal"/>
    <w:next w:val="Normal"/>
    <w:autoRedefine/>
    <w:uiPriority w:val="39"/>
    <w:unhideWhenUsed/>
    <w:rsid w:val="00FF6767"/>
    <w:rPr>
      <w:rFonts w:cstheme="minorHAnsi"/>
      <w:sz w:val="22"/>
      <w:szCs w:val="22"/>
    </w:rPr>
  </w:style>
  <w:style w:type="paragraph" w:styleId="TOC5">
    <w:name w:val="toc 5"/>
    <w:basedOn w:val="Normal"/>
    <w:next w:val="Normal"/>
    <w:autoRedefine/>
    <w:uiPriority w:val="39"/>
    <w:unhideWhenUsed/>
    <w:rsid w:val="00FF6767"/>
    <w:rPr>
      <w:rFonts w:cstheme="minorHAnsi"/>
      <w:sz w:val="22"/>
      <w:szCs w:val="22"/>
    </w:rPr>
  </w:style>
  <w:style w:type="paragraph" w:styleId="TOC6">
    <w:name w:val="toc 6"/>
    <w:basedOn w:val="Normal"/>
    <w:next w:val="Normal"/>
    <w:autoRedefine/>
    <w:uiPriority w:val="39"/>
    <w:unhideWhenUsed/>
    <w:rsid w:val="00FF6767"/>
    <w:rPr>
      <w:rFonts w:cstheme="minorHAnsi"/>
      <w:sz w:val="22"/>
      <w:szCs w:val="22"/>
    </w:rPr>
  </w:style>
  <w:style w:type="paragraph" w:styleId="TOC7">
    <w:name w:val="toc 7"/>
    <w:basedOn w:val="Normal"/>
    <w:next w:val="Normal"/>
    <w:autoRedefine/>
    <w:uiPriority w:val="39"/>
    <w:unhideWhenUsed/>
    <w:rsid w:val="00FF6767"/>
    <w:rPr>
      <w:rFonts w:cstheme="minorHAnsi"/>
      <w:sz w:val="22"/>
      <w:szCs w:val="22"/>
    </w:rPr>
  </w:style>
  <w:style w:type="paragraph" w:styleId="TOC8">
    <w:name w:val="toc 8"/>
    <w:basedOn w:val="Normal"/>
    <w:next w:val="Normal"/>
    <w:autoRedefine/>
    <w:uiPriority w:val="39"/>
    <w:unhideWhenUsed/>
    <w:rsid w:val="00FF6767"/>
    <w:rPr>
      <w:rFonts w:cstheme="minorHAnsi"/>
      <w:sz w:val="22"/>
      <w:szCs w:val="22"/>
    </w:rPr>
  </w:style>
  <w:style w:type="paragraph" w:styleId="TOC9">
    <w:name w:val="toc 9"/>
    <w:basedOn w:val="Normal"/>
    <w:next w:val="Normal"/>
    <w:autoRedefine/>
    <w:uiPriority w:val="39"/>
    <w:unhideWhenUsed/>
    <w:rsid w:val="00FF6767"/>
    <w:rPr>
      <w:rFonts w:cstheme="minorHAnsi"/>
      <w:sz w:val="22"/>
      <w:szCs w:val="22"/>
    </w:rPr>
  </w:style>
  <w:style w:type="character" w:styleId="Hyperlink">
    <w:name w:val="Hyperlink"/>
    <w:basedOn w:val="DefaultParagraphFont"/>
    <w:uiPriority w:val="99"/>
    <w:unhideWhenUsed/>
    <w:rsid w:val="00FF67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7931">
      <w:bodyDiv w:val="1"/>
      <w:marLeft w:val="0"/>
      <w:marRight w:val="0"/>
      <w:marTop w:val="0"/>
      <w:marBottom w:val="0"/>
      <w:divBdr>
        <w:top w:val="none" w:sz="0" w:space="0" w:color="auto"/>
        <w:left w:val="none" w:sz="0" w:space="0" w:color="auto"/>
        <w:bottom w:val="none" w:sz="0" w:space="0" w:color="auto"/>
        <w:right w:val="none" w:sz="0" w:space="0" w:color="auto"/>
      </w:divBdr>
    </w:div>
    <w:div w:id="470902989">
      <w:bodyDiv w:val="1"/>
      <w:marLeft w:val="0"/>
      <w:marRight w:val="0"/>
      <w:marTop w:val="0"/>
      <w:marBottom w:val="0"/>
      <w:divBdr>
        <w:top w:val="none" w:sz="0" w:space="0" w:color="auto"/>
        <w:left w:val="none" w:sz="0" w:space="0" w:color="auto"/>
        <w:bottom w:val="none" w:sz="0" w:space="0" w:color="auto"/>
        <w:right w:val="none" w:sz="0" w:space="0" w:color="auto"/>
      </w:divBdr>
      <w:divsChild>
        <w:div w:id="19400785">
          <w:marLeft w:val="0"/>
          <w:marRight w:val="0"/>
          <w:marTop w:val="0"/>
          <w:marBottom w:val="0"/>
          <w:divBdr>
            <w:top w:val="none" w:sz="0" w:space="0" w:color="auto"/>
            <w:left w:val="none" w:sz="0" w:space="0" w:color="auto"/>
            <w:bottom w:val="none" w:sz="0" w:space="0" w:color="auto"/>
            <w:right w:val="none" w:sz="0" w:space="0" w:color="auto"/>
          </w:divBdr>
        </w:div>
      </w:divsChild>
    </w:div>
    <w:div w:id="750659899">
      <w:bodyDiv w:val="1"/>
      <w:marLeft w:val="0"/>
      <w:marRight w:val="0"/>
      <w:marTop w:val="0"/>
      <w:marBottom w:val="0"/>
      <w:divBdr>
        <w:top w:val="none" w:sz="0" w:space="0" w:color="auto"/>
        <w:left w:val="none" w:sz="0" w:space="0" w:color="auto"/>
        <w:bottom w:val="none" w:sz="0" w:space="0" w:color="auto"/>
        <w:right w:val="none" w:sz="0" w:space="0" w:color="auto"/>
      </w:divBdr>
    </w:div>
    <w:div w:id="823162566">
      <w:bodyDiv w:val="1"/>
      <w:marLeft w:val="0"/>
      <w:marRight w:val="0"/>
      <w:marTop w:val="0"/>
      <w:marBottom w:val="0"/>
      <w:divBdr>
        <w:top w:val="none" w:sz="0" w:space="0" w:color="auto"/>
        <w:left w:val="none" w:sz="0" w:space="0" w:color="auto"/>
        <w:bottom w:val="none" w:sz="0" w:space="0" w:color="auto"/>
        <w:right w:val="none" w:sz="0" w:space="0" w:color="auto"/>
      </w:divBdr>
    </w:div>
    <w:div w:id="987785464">
      <w:bodyDiv w:val="1"/>
      <w:marLeft w:val="0"/>
      <w:marRight w:val="0"/>
      <w:marTop w:val="0"/>
      <w:marBottom w:val="0"/>
      <w:divBdr>
        <w:top w:val="none" w:sz="0" w:space="0" w:color="auto"/>
        <w:left w:val="none" w:sz="0" w:space="0" w:color="auto"/>
        <w:bottom w:val="none" w:sz="0" w:space="0" w:color="auto"/>
        <w:right w:val="none" w:sz="0" w:space="0" w:color="auto"/>
      </w:divBdr>
    </w:div>
    <w:div w:id="1075590864">
      <w:bodyDiv w:val="1"/>
      <w:marLeft w:val="0"/>
      <w:marRight w:val="0"/>
      <w:marTop w:val="0"/>
      <w:marBottom w:val="0"/>
      <w:divBdr>
        <w:top w:val="none" w:sz="0" w:space="0" w:color="auto"/>
        <w:left w:val="none" w:sz="0" w:space="0" w:color="auto"/>
        <w:bottom w:val="none" w:sz="0" w:space="0" w:color="auto"/>
        <w:right w:val="none" w:sz="0" w:space="0" w:color="auto"/>
      </w:divBdr>
    </w:div>
    <w:div w:id="1196312825">
      <w:bodyDiv w:val="1"/>
      <w:marLeft w:val="0"/>
      <w:marRight w:val="0"/>
      <w:marTop w:val="0"/>
      <w:marBottom w:val="0"/>
      <w:divBdr>
        <w:top w:val="none" w:sz="0" w:space="0" w:color="auto"/>
        <w:left w:val="none" w:sz="0" w:space="0" w:color="auto"/>
        <w:bottom w:val="none" w:sz="0" w:space="0" w:color="auto"/>
        <w:right w:val="none" w:sz="0" w:space="0" w:color="auto"/>
      </w:divBdr>
    </w:div>
    <w:div w:id="1343894051">
      <w:bodyDiv w:val="1"/>
      <w:marLeft w:val="0"/>
      <w:marRight w:val="0"/>
      <w:marTop w:val="0"/>
      <w:marBottom w:val="0"/>
      <w:divBdr>
        <w:top w:val="none" w:sz="0" w:space="0" w:color="auto"/>
        <w:left w:val="none" w:sz="0" w:space="0" w:color="auto"/>
        <w:bottom w:val="none" w:sz="0" w:space="0" w:color="auto"/>
        <w:right w:val="none" w:sz="0" w:space="0" w:color="auto"/>
      </w:divBdr>
    </w:div>
    <w:div w:id="1443456623">
      <w:bodyDiv w:val="1"/>
      <w:marLeft w:val="0"/>
      <w:marRight w:val="0"/>
      <w:marTop w:val="0"/>
      <w:marBottom w:val="0"/>
      <w:divBdr>
        <w:top w:val="none" w:sz="0" w:space="0" w:color="auto"/>
        <w:left w:val="none" w:sz="0" w:space="0" w:color="auto"/>
        <w:bottom w:val="none" w:sz="0" w:space="0" w:color="auto"/>
        <w:right w:val="none" w:sz="0" w:space="0" w:color="auto"/>
      </w:divBdr>
    </w:div>
    <w:div w:id="1783112255">
      <w:bodyDiv w:val="1"/>
      <w:marLeft w:val="0"/>
      <w:marRight w:val="0"/>
      <w:marTop w:val="0"/>
      <w:marBottom w:val="0"/>
      <w:divBdr>
        <w:top w:val="none" w:sz="0" w:space="0" w:color="auto"/>
        <w:left w:val="none" w:sz="0" w:space="0" w:color="auto"/>
        <w:bottom w:val="none" w:sz="0" w:space="0" w:color="auto"/>
        <w:right w:val="none" w:sz="0" w:space="0" w:color="auto"/>
      </w:divBdr>
      <w:divsChild>
        <w:div w:id="1688753493">
          <w:marLeft w:val="0"/>
          <w:marRight w:val="0"/>
          <w:marTop w:val="0"/>
          <w:marBottom w:val="0"/>
          <w:divBdr>
            <w:top w:val="none" w:sz="0" w:space="0" w:color="auto"/>
            <w:left w:val="none" w:sz="0" w:space="0" w:color="auto"/>
            <w:bottom w:val="none" w:sz="0" w:space="0" w:color="auto"/>
            <w:right w:val="none" w:sz="0" w:space="0" w:color="auto"/>
          </w:divBdr>
        </w:div>
        <w:div w:id="932281183">
          <w:marLeft w:val="0"/>
          <w:marRight w:val="0"/>
          <w:marTop w:val="0"/>
          <w:marBottom w:val="0"/>
          <w:divBdr>
            <w:top w:val="none" w:sz="0" w:space="0" w:color="auto"/>
            <w:left w:val="none" w:sz="0" w:space="0" w:color="auto"/>
            <w:bottom w:val="none" w:sz="0" w:space="0" w:color="auto"/>
            <w:right w:val="none" w:sz="0" w:space="0" w:color="auto"/>
          </w:divBdr>
        </w:div>
        <w:div w:id="635571254">
          <w:marLeft w:val="0"/>
          <w:marRight w:val="0"/>
          <w:marTop w:val="0"/>
          <w:marBottom w:val="0"/>
          <w:divBdr>
            <w:top w:val="none" w:sz="0" w:space="0" w:color="auto"/>
            <w:left w:val="none" w:sz="0" w:space="0" w:color="auto"/>
            <w:bottom w:val="none" w:sz="0" w:space="0" w:color="auto"/>
            <w:right w:val="none" w:sz="0" w:space="0" w:color="auto"/>
          </w:divBdr>
        </w:div>
        <w:div w:id="2104181759">
          <w:marLeft w:val="0"/>
          <w:marRight w:val="0"/>
          <w:marTop w:val="0"/>
          <w:marBottom w:val="0"/>
          <w:divBdr>
            <w:top w:val="none" w:sz="0" w:space="0" w:color="auto"/>
            <w:left w:val="none" w:sz="0" w:space="0" w:color="auto"/>
            <w:bottom w:val="none" w:sz="0" w:space="0" w:color="auto"/>
            <w:right w:val="none" w:sz="0" w:space="0" w:color="auto"/>
          </w:divBdr>
        </w:div>
        <w:div w:id="525143429">
          <w:marLeft w:val="0"/>
          <w:marRight w:val="0"/>
          <w:marTop w:val="0"/>
          <w:marBottom w:val="0"/>
          <w:divBdr>
            <w:top w:val="none" w:sz="0" w:space="0" w:color="auto"/>
            <w:left w:val="none" w:sz="0" w:space="0" w:color="auto"/>
            <w:bottom w:val="none" w:sz="0" w:space="0" w:color="auto"/>
            <w:right w:val="none" w:sz="0" w:space="0" w:color="auto"/>
          </w:divBdr>
        </w:div>
        <w:div w:id="947814179">
          <w:marLeft w:val="0"/>
          <w:marRight w:val="0"/>
          <w:marTop w:val="0"/>
          <w:marBottom w:val="0"/>
          <w:divBdr>
            <w:top w:val="none" w:sz="0" w:space="0" w:color="auto"/>
            <w:left w:val="none" w:sz="0" w:space="0" w:color="auto"/>
            <w:bottom w:val="none" w:sz="0" w:space="0" w:color="auto"/>
            <w:right w:val="none" w:sz="0" w:space="0" w:color="auto"/>
          </w:divBdr>
        </w:div>
        <w:div w:id="2109497056">
          <w:marLeft w:val="0"/>
          <w:marRight w:val="0"/>
          <w:marTop w:val="0"/>
          <w:marBottom w:val="0"/>
          <w:divBdr>
            <w:top w:val="none" w:sz="0" w:space="0" w:color="auto"/>
            <w:left w:val="none" w:sz="0" w:space="0" w:color="auto"/>
            <w:bottom w:val="none" w:sz="0" w:space="0" w:color="auto"/>
            <w:right w:val="none" w:sz="0" w:space="0" w:color="auto"/>
          </w:divBdr>
        </w:div>
        <w:div w:id="64647323">
          <w:marLeft w:val="0"/>
          <w:marRight w:val="0"/>
          <w:marTop w:val="0"/>
          <w:marBottom w:val="0"/>
          <w:divBdr>
            <w:top w:val="none" w:sz="0" w:space="0" w:color="auto"/>
            <w:left w:val="none" w:sz="0" w:space="0" w:color="auto"/>
            <w:bottom w:val="none" w:sz="0" w:space="0" w:color="auto"/>
            <w:right w:val="none" w:sz="0" w:space="0" w:color="auto"/>
          </w:divBdr>
        </w:div>
        <w:div w:id="256643976">
          <w:marLeft w:val="0"/>
          <w:marRight w:val="0"/>
          <w:marTop w:val="0"/>
          <w:marBottom w:val="0"/>
          <w:divBdr>
            <w:top w:val="none" w:sz="0" w:space="0" w:color="auto"/>
            <w:left w:val="none" w:sz="0" w:space="0" w:color="auto"/>
            <w:bottom w:val="none" w:sz="0" w:space="0" w:color="auto"/>
            <w:right w:val="none" w:sz="0" w:space="0" w:color="auto"/>
          </w:divBdr>
        </w:div>
        <w:div w:id="1367365076">
          <w:marLeft w:val="0"/>
          <w:marRight w:val="0"/>
          <w:marTop w:val="0"/>
          <w:marBottom w:val="0"/>
          <w:divBdr>
            <w:top w:val="none" w:sz="0" w:space="0" w:color="auto"/>
            <w:left w:val="none" w:sz="0" w:space="0" w:color="auto"/>
            <w:bottom w:val="none" w:sz="0" w:space="0" w:color="auto"/>
            <w:right w:val="none" w:sz="0" w:space="0" w:color="auto"/>
          </w:divBdr>
        </w:div>
        <w:div w:id="918564863">
          <w:marLeft w:val="0"/>
          <w:marRight w:val="0"/>
          <w:marTop w:val="0"/>
          <w:marBottom w:val="0"/>
          <w:divBdr>
            <w:top w:val="none" w:sz="0" w:space="0" w:color="auto"/>
            <w:left w:val="none" w:sz="0" w:space="0" w:color="auto"/>
            <w:bottom w:val="none" w:sz="0" w:space="0" w:color="auto"/>
            <w:right w:val="none" w:sz="0" w:space="0" w:color="auto"/>
          </w:divBdr>
        </w:div>
        <w:div w:id="1449931089">
          <w:marLeft w:val="0"/>
          <w:marRight w:val="0"/>
          <w:marTop w:val="0"/>
          <w:marBottom w:val="0"/>
          <w:divBdr>
            <w:top w:val="none" w:sz="0" w:space="0" w:color="auto"/>
            <w:left w:val="none" w:sz="0" w:space="0" w:color="auto"/>
            <w:bottom w:val="none" w:sz="0" w:space="0" w:color="auto"/>
            <w:right w:val="none" w:sz="0" w:space="0" w:color="auto"/>
          </w:divBdr>
        </w:div>
        <w:div w:id="16666856">
          <w:marLeft w:val="0"/>
          <w:marRight w:val="0"/>
          <w:marTop w:val="0"/>
          <w:marBottom w:val="0"/>
          <w:divBdr>
            <w:top w:val="none" w:sz="0" w:space="0" w:color="auto"/>
            <w:left w:val="none" w:sz="0" w:space="0" w:color="auto"/>
            <w:bottom w:val="none" w:sz="0" w:space="0" w:color="auto"/>
            <w:right w:val="none" w:sz="0" w:space="0" w:color="auto"/>
          </w:divBdr>
        </w:div>
      </w:divsChild>
    </w:div>
    <w:div w:id="1823621042">
      <w:bodyDiv w:val="1"/>
      <w:marLeft w:val="0"/>
      <w:marRight w:val="0"/>
      <w:marTop w:val="0"/>
      <w:marBottom w:val="0"/>
      <w:divBdr>
        <w:top w:val="none" w:sz="0" w:space="0" w:color="auto"/>
        <w:left w:val="none" w:sz="0" w:space="0" w:color="auto"/>
        <w:bottom w:val="none" w:sz="0" w:space="0" w:color="auto"/>
        <w:right w:val="none" w:sz="0" w:space="0" w:color="auto"/>
      </w:divBdr>
    </w:div>
    <w:div w:id="195744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F3901-B194-CD47-A389-6A7EA382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3278</Words>
  <Characters>18686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Mok</dc:creator>
  <cp:keywords/>
  <dc:description/>
  <cp:lastModifiedBy>Lionel Mok</cp:lastModifiedBy>
  <cp:revision>3</cp:revision>
  <dcterms:created xsi:type="dcterms:W3CDTF">2020-08-02T02:10:00Z</dcterms:created>
  <dcterms:modified xsi:type="dcterms:W3CDTF">2020-09-28T14:54:00Z</dcterms:modified>
</cp:coreProperties>
</file>