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4EDC6" w14:textId="64AD091D" w:rsidR="00C21771" w:rsidRPr="00182943" w:rsidRDefault="00182943" w:rsidP="009205FE">
      <w:pPr>
        <w:pStyle w:val="Title"/>
        <w:rPr>
          <w:rFonts w:asciiTheme="minorHAnsi" w:hAnsiTheme="minorHAnsi"/>
          <w:sz w:val="20"/>
          <w:szCs w:val="20"/>
        </w:rPr>
      </w:pPr>
      <w:r>
        <w:rPr>
          <w:rFonts w:asciiTheme="minorHAnsi" w:hAnsiTheme="minorHAnsi"/>
          <w:sz w:val="20"/>
          <w:szCs w:val="20"/>
        </w:rPr>
        <w:t xml:space="preserve">CBI </w:t>
      </w:r>
      <w:r w:rsidR="00C21771" w:rsidRPr="00182943">
        <w:rPr>
          <w:rFonts w:asciiTheme="minorHAnsi" w:hAnsiTheme="minorHAnsi"/>
          <w:sz w:val="20"/>
          <w:szCs w:val="20"/>
        </w:rPr>
        <w:t>Shipping Criteria</w:t>
      </w:r>
      <w:r>
        <w:rPr>
          <w:rFonts w:asciiTheme="minorHAnsi" w:hAnsiTheme="minorHAnsi"/>
          <w:sz w:val="20"/>
          <w:szCs w:val="20"/>
        </w:rPr>
        <w:t xml:space="preserve"> – Criteria Document</w:t>
      </w:r>
    </w:p>
    <w:p w14:paraId="5D32825F" w14:textId="77777777" w:rsidR="00C21771" w:rsidRPr="00182943" w:rsidRDefault="00C21771" w:rsidP="00182943">
      <w:pPr>
        <w:pStyle w:val="Title"/>
        <w:rPr>
          <w:rFonts w:asciiTheme="minorHAnsi" w:hAnsiTheme="minorHAnsi"/>
          <w:sz w:val="20"/>
          <w:szCs w:val="20"/>
        </w:rPr>
      </w:pPr>
    </w:p>
    <w:p w14:paraId="75C04E40" w14:textId="167E324E" w:rsidR="00C21771" w:rsidRPr="00182943" w:rsidRDefault="00C21771" w:rsidP="00182943">
      <w:pPr>
        <w:pStyle w:val="Title"/>
        <w:rPr>
          <w:rFonts w:asciiTheme="minorHAnsi" w:hAnsiTheme="minorHAnsi"/>
          <w:sz w:val="20"/>
          <w:szCs w:val="20"/>
        </w:rPr>
      </w:pPr>
      <w:r w:rsidRPr="00182943">
        <w:rPr>
          <w:rFonts w:asciiTheme="minorHAnsi" w:hAnsiTheme="minorHAnsi"/>
          <w:sz w:val="20"/>
          <w:szCs w:val="20"/>
        </w:rPr>
        <w:t>The Shipping Criteria for the</w:t>
      </w:r>
    </w:p>
    <w:p w14:paraId="6D86E1FC" w14:textId="77777777" w:rsidR="00C21771" w:rsidRPr="00182943" w:rsidRDefault="00C21771" w:rsidP="00182943">
      <w:pPr>
        <w:pStyle w:val="Title"/>
        <w:rPr>
          <w:rFonts w:asciiTheme="minorHAnsi" w:hAnsiTheme="minorHAnsi"/>
          <w:sz w:val="20"/>
          <w:szCs w:val="20"/>
        </w:rPr>
      </w:pPr>
      <w:r w:rsidRPr="00182943">
        <w:rPr>
          <w:rFonts w:asciiTheme="minorHAnsi" w:hAnsiTheme="minorHAnsi"/>
          <w:sz w:val="20"/>
          <w:szCs w:val="20"/>
        </w:rPr>
        <w:t>Climate Bonds Standard &amp; Certification Scheme</w:t>
      </w:r>
    </w:p>
    <w:p w14:paraId="6A9880BF" w14:textId="77777777" w:rsidR="00C21771" w:rsidRPr="00182943" w:rsidRDefault="00C21771" w:rsidP="00182943">
      <w:pPr>
        <w:pStyle w:val="Title"/>
        <w:rPr>
          <w:rFonts w:asciiTheme="minorHAnsi" w:hAnsiTheme="minorHAnsi"/>
          <w:sz w:val="20"/>
          <w:szCs w:val="20"/>
        </w:rPr>
      </w:pPr>
    </w:p>
    <w:p w14:paraId="7790177E" w14:textId="77777777" w:rsidR="00C21771" w:rsidRPr="00182943" w:rsidRDefault="00C21771" w:rsidP="00182943">
      <w:pPr>
        <w:pStyle w:val="Title"/>
        <w:rPr>
          <w:rFonts w:asciiTheme="minorHAnsi" w:hAnsiTheme="minorHAnsi"/>
          <w:sz w:val="20"/>
          <w:szCs w:val="20"/>
        </w:rPr>
      </w:pPr>
    </w:p>
    <w:p w14:paraId="1C442965" w14:textId="33FEE008" w:rsidR="00C21771" w:rsidRPr="00182943" w:rsidRDefault="0012180B" w:rsidP="00182943">
      <w:pPr>
        <w:pStyle w:val="Title"/>
        <w:rPr>
          <w:rFonts w:asciiTheme="minorHAnsi" w:hAnsiTheme="minorHAnsi"/>
          <w:sz w:val="20"/>
          <w:szCs w:val="20"/>
        </w:rPr>
      </w:pPr>
      <w:r w:rsidRPr="00182943">
        <w:rPr>
          <w:rFonts w:asciiTheme="minorHAnsi" w:hAnsiTheme="minorHAnsi"/>
          <w:sz w:val="20"/>
          <w:szCs w:val="20"/>
        </w:rPr>
        <w:br/>
      </w:r>
      <w:r w:rsidRPr="00182943">
        <w:rPr>
          <w:rFonts w:asciiTheme="minorHAnsi" w:hAnsiTheme="minorHAnsi"/>
          <w:sz w:val="20"/>
          <w:szCs w:val="20"/>
        </w:rPr>
        <w:br/>
      </w:r>
    </w:p>
    <w:p w14:paraId="7DF4BB77" w14:textId="77777777" w:rsidR="00C21771" w:rsidRPr="00182943" w:rsidRDefault="00C21771" w:rsidP="00182943">
      <w:pPr>
        <w:pStyle w:val="Title"/>
        <w:rPr>
          <w:rFonts w:asciiTheme="minorHAnsi" w:hAnsiTheme="minorHAnsi"/>
          <w:sz w:val="20"/>
          <w:szCs w:val="20"/>
        </w:rPr>
      </w:pPr>
    </w:p>
    <w:p w14:paraId="30C8B1C7" w14:textId="77777777" w:rsidR="00C21771" w:rsidRPr="00182943" w:rsidRDefault="00C21771" w:rsidP="00182943">
      <w:pPr>
        <w:pStyle w:val="Title"/>
        <w:rPr>
          <w:rFonts w:asciiTheme="minorHAnsi" w:hAnsiTheme="minorHAnsi"/>
          <w:sz w:val="20"/>
          <w:szCs w:val="20"/>
        </w:rPr>
      </w:pPr>
    </w:p>
    <w:p w14:paraId="1E58E85A" w14:textId="77777777" w:rsidR="00C21771" w:rsidRPr="00182943" w:rsidRDefault="00C21771" w:rsidP="00182943">
      <w:pPr>
        <w:pStyle w:val="Title"/>
        <w:rPr>
          <w:rFonts w:asciiTheme="minorHAnsi" w:hAnsiTheme="minorHAnsi"/>
          <w:sz w:val="20"/>
          <w:szCs w:val="20"/>
        </w:rPr>
      </w:pPr>
    </w:p>
    <w:p w14:paraId="53D67BFE" w14:textId="77777777" w:rsidR="00C21771" w:rsidRPr="00182943" w:rsidRDefault="00C21771" w:rsidP="00182943">
      <w:pPr>
        <w:pStyle w:val="Title"/>
        <w:rPr>
          <w:rFonts w:asciiTheme="minorHAnsi" w:hAnsiTheme="minorHAnsi"/>
          <w:sz w:val="20"/>
          <w:szCs w:val="20"/>
        </w:rPr>
      </w:pPr>
    </w:p>
    <w:p w14:paraId="665F9B0F" w14:textId="77777777" w:rsidR="00C21771" w:rsidRPr="00182943" w:rsidRDefault="00C21771" w:rsidP="00182943">
      <w:pPr>
        <w:pStyle w:val="Title"/>
        <w:rPr>
          <w:rFonts w:asciiTheme="minorHAnsi" w:hAnsiTheme="minorHAnsi"/>
          <w:sz w:val="20"/>
          <w:szCs w:val="20"/>
        </w:rPr>
      </w:pPr>
    </w:p>
    <w:p w14:paraId="72C94025" w14:textId="31B0BD4D" w:rsidR="00C21771" w:rsidRPr="00182943" w:rsidRDefault="00E665ED" w:rsidP="00182943">
      <w:pPr>
        <w:pStyle w:val="Title"/>
        <w:rPr>
          <w:rFonts w:asciiTheme="minorHAnsi" w:hAnsiTheme="minorHAnsi"/>
          <w:sz w:val="20"/>
          <w:szCs w:val="20"/>
        </w:rPr>
      </w:pPr>
      <w:r>
        <w:rPr>
          <w:rFonts w:asciiTheme="minorHAnsi" w:hAnsiTheme="minorHAnsi"/>
          <w:sz w:val="20"/>
          <w:szCs w:val="20"/>
        </w:rPr>
        <w:t xml:space="preserve">September </w:t>
      </w:r>
      <w:r w:rsidR="0003222A" w:rsidRPr="00182943">
        <w:rPr>
          <w:rFonts w:asciiTheme="minorHAnsi" w:hAnsiTheme="minorHAnsi"/>
          <w:sz w:val="20"/>
          <w:szCs w:val="20"/>
        </w:rPr>
        <w:t>2020</w:t>
      </w:r>
    </w:p>
    <w:p w14:paraId="3D6C11FE" w14:textId="77777777" w:rsidR="00C21771" w:rsidRDefault="00C21771" w:rsidP="009205FE"/>
    <w:p w14:paraId="3948AC86" w14:textId="77777777" w:rsidR="00C21771" w:rsidRDefault="00C21771" w:rsidP="009205FE"/>
    <w:p w14:paraId="4C70D944" w14:textId="77777777" w:rsidR="00C21771" w:rsidRDefault="00C21771" w:rsidP="009205FE"/>
    <w:p w14:paraId="1BA8D3B4" w14:textId="77777777" w:rsidR="00C21771" w:rsidRDefault="00C21771" w:rsidP="009205FE"/>
    <w:p w14:paraId="255A32FA" w14:textId="3EB54083" w:rsidR="00C21771" w:rsidRDefault="00C21771" w:rsidP="009205FE"/>
    <w:p w14:paraId="298D5F29" w14:textId="77777777" w:rsidR="00C21771" w:rsidRDefault="00C21771" w:rsidP="009205FE"/>
    <w:p w14:paraId="1ECF8A0C" w14:textId="32A748AA" w:rsidR="00C21771" w:rsidRDefault="00C21771" w:rsidP="009205FE"/>
    <w:p w14:paraId="76A49A76" w14:textId="7BCD3F1C" w:rsidR="00C21771" w:rsidRDefault="00C21771" w:rsidP="009205FE"/>
    <w:p w14:paraId="1662FE2F" w14:textId="240D280A" w:rsidR="00C21771" w:rsidRDefault="00C21771" w:rsidP="009205FE"/>
    <w:p w14:paraId="0E285FB6" w14:textId="3AEADD42" w:rsidR="00C21771" w:rsidRDefault="00C21771" w:rsidP="009205FE"/>
    <w:p w14:paraId="36FE47AA" w14:textId="77777777" w:rsidR="00C21771" w:rsidRDefault="00C21771" w:rsidP="009205FE"/>
    <w:p w14:paraId="07C93866" w14:textId="4B72B270" w:rsidR="00C21771" w:rsidRDefault="00C21771" w:rsidP="009205FE"/>
    <w:p w14:paraId="0A3456F2" w14:textId="77777777" w:rsidR="009205FE" w:rsidRDefault="009205FE" w:rsidP="009205FE"/>
    <w:p w14:paraId="0E61FE95" w14:textId="5725FE06" w:rsidR="00C21771" w:rsidRDefault="00C21771" w:rsidP="009205FE"/>
    <w:p w14:paraId="509FF67F" w14:textId="7ECA10A4" w:rsidR="00C21771" w:rsidRDefault="00C21771" w:rsidP="009205FE"/>
    <w:p w14:paraId="2123EE57" w14:textId="7D06A0FB" w:rsidR="00C21771" w:rsidRDefault="00C21771" w:rsidP="009205FE"/>
    <w:p w14:paraId="043E2935" w14:textId="4066351F" w:rsidR="00E00DF5" w:rsidRDefault="00E00DF5" w:rsidP="009205FE"/>
    <w:p w14:paraId="6568E705" w14:textId="678F1AFF" w:rsidR="00C21771" w:rsidRDefault="00182943" w:rsidP="009205FE">
      <w:pPr>
        <w:rPr>
          <w:rFonts w:ascii="MS Gothic" w:eastAsia="MS Gothic" w:hAnsi="MS Gothic" w:cs="MS Gothic"/>
        </w:rPr>
      </w:pPr>
      <w:r>
        <w:rPr>
          <w:noProof/>
          <w:lang w:eastAsia="en-GB"/>
        </w:rPr>
        <w:drawing>
          <wp:anchor distT="0" distB="0" distL="114300" distR="114300" simplePos="0" relativeHeight="251660288" behindDoc="0" locked="0" layoutInCell="1" allowOverlap="1" wp14:anchorId="480F2CEB" wp14:editId="0915D6B2">
            <wp:simplePos x="0" y="0"/>
            <wp:positionH relativeFrom="column">
              <wp:posOffset>3105052</wp:posOffset>
            </wp:positionH>
            <wp:positionV relativeFrom="paragraph">
              <wp:posOffset>94810</wp:posOffset>
            </wp:positionV>
            <wp:extent cx="2828925" cy="1128395"/>
            <wp:effectExtent l="0" t="0" r="0" b="0"/>
            <wp:wrapSquare wrapText="bothSides"/>
            <wp:docPr id="2" name="Picture 2" descr="Description: :::Climate Bonds comms:Brochures PDFs to send:2.CBI_Standards_Dec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limate Bonds comms:Brochures PDFs to send:2.CBI_Standards_Dec13.pd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395" b="7832"/>
                    <a:stretch/>
                  </pic:blipFill>
                  <pic:spPr bwMode="auto">
                    <a:xfrm>
                      <a:off x="0" y="0"/>
                      <a:ext cx="2828925" cy="11283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7AC73F" w14:textId="77777777" w:rsidR="00C21771" w:rsidRDefault="00C21771" w:rsidP="009205FE"/>
    <w:p w14:paraId="36B35703" w14:textId="77777777" w:rsidR="00C21771" w:rsidRDefault="00C21771" w:rsidP="009205FE"/>
    <w:p w14:paraId="2A20F51A" w14:textId="77777777" w:rsidR="00C21771" w:rsidRDefault="00C21771" w:rsidP="009205FE"/>
    <w:p w14:paraId="1DECDD5A" w14:textId="0DDEFDF4" w:rsidR="00C21771" w:rsidRDefault="00C21771" w:rsidP="009205FE"/>
    <w:p w14:paraId="1AFE3A73" w14:textId="434F4C5B" w:rsidR="00C21771" w:rsidRDefault="00C21771" w:rsidP="009205FE"/>
    <w:p w14:paraId="543105A4" w14:textId="7509C67F" w:rsidR="00EE161E" w:rsidRDefault="00EE161E" w:rsidP="009205FE"/>
    <w:p w14:paraId="60538AC4" w14:textId="35363143" w:rsidR="00182943" w:rsidRDefault="00182943" w:rsidP="009205FE">
      <w:pPr>
        <w:rPr>
          <w:b/>
          <w:bCs/>
        </w:rPr>
      </w:pPr>
      <w:r>
        <w:rPr>
          <w:noProof/>
          <w:sz w:val="20"/>
          <w:szCs w:val="20"/>
        </w:rPr>
        <mc:AlternateContent>
          <mc:Choice Requires="wps">
            <w:drawing>
              <wp:anchor distT="0" distB="0" distL="114300" distR="114300" simplePos="0" relativeHeight="251689984" behindDoc="0" locked="0" layoutInCell="1" allowOverlap="1" wp14:anchorId="66B728C3" wp14:editId="782F10DA">
                <wp:simplePos x="0" y="0"/>
                <wp:positionH relativeFrom="column">
                  <wp:posOffset>-94129</wp:posOffset>
                </wp:positionH>
                <wp:positionV relativeFrom="paragraph">
                  <wp:posOffset>123115</wp:posOffset>
                </wp:positionV>
                <wp:extent cx="6183358" cy="2043953"/>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6183358" cy="2043953"/>
                        </a:xfrm>
                        <a:prstGeom prst="rect">
                          <a:avLst/>
                        </a:prstGeom>
                        <a:solidFill>
                          <a:schemeClr val="lt1"/>
                        </a:solidFill>
                        <a:ln w="6350">
                          <a:noFill/>
                        </a:ln>
                      </wps:spPr>
                      <wps:txbx>
                        <w:txbxContent>
                          <w:p w14:paraId="4621B381" w14:textId="77777777" w:rsidR="004C4A41" w:rsidRDefault="004C4A41" w:rsidP="00182943">
                            <w:pPr>
                              <w:shd w:val="clear" w:color="auto" w:fill="FBE4D5" w:themeFill="accent2" w:themeFillTint="33"/>
                              <w:rPr>
                                <w:rFonts w:ascii="AppleSystemUIFont" w:hAnsi="AppleSystemUIFont" w:cs="AppleSystemUIFont"/>
                              </w:rPr>
                            </w:pPr>
                            <w:r w:rsidRPr="00313226">
                              <w:rPr>
                                <w:rFonts w:ascii="AppleSystemUIFont" w:hAnsi="AppleSystemUIFont" w:cs="AppleSystemUIFont"/>
                              </w:rPr>
                              <w:t xml:space="preserve">The Climate Bonds Initiative gratefully acknowledges the Technical and Industry Working Group members who supported the development of these Criteria. Members are listed in </w:t>
                            </w:r>
                            <w:r>
                              <w:rPr>
                                <w:rFonts w:ascii="AppleSystemUIFont" w:hAnsi="AppleSystemUIFont" w:cs="AppleSystemUIFont"/>
                              </w:rPr>
                              <w:t>Annex 2</w:t>
                            </w:r>
                            <w:r w:rsidRPr="00313226">
                              <w:rPr>
                                <w:rFonts w:ascii="AppleSystemUIFont" w:hAnsi="AppleSystemUIFont" w:cs="AppleSystemUIFont"/>
                              </w:rPr>
                              <w:t xml:space="preserve">. </w:t>
                            </w:r>
                          </w:p>
                          <w:p w14:paraId="3B9C6850" w14:textId="77777777" w:rsidR="004C4A41" w:rsidRDefault="004C4A41" w:rsidP="00182943">
                            <w:pPr>
                              <w:shd w:val="clear" w:color="auto" w:fill="FBE4D5" w:themeFill="accent2" w:themeFillTint="33"/>
                              <w:rPr>
                                <w:rFonts w:ascii="AppleSystemUIFont" w:hAnsi="AppleSystemUIFont" w:cs="AppleSystemUIFont"/>
                              </w:rPr>
                            </w:pPr>
                          </w:p>
                          <w:p w14:paraId="2C9A5F16" w14:textId="415883CF" w:rsidR="004C4A41" w:rsidRDefault="004C4A41" w:rsidP="00182943">
                            <w:pPr>
                              <w:shd w:val="clear" w:color="auto" w:fill="FBE4D5" w:themeFill="accent2" w:themeFillTint="33"/>
                              <w:rPr>
                                <w:rFonts w:ascii="AppleSystemUIFont" w:hAnsi="AppleSystemUIFont" w:cs="AppleSystemUIFont"/>
                              </w:rPr>
                            </w:pPr>
                            <w:r w:rsidRPr="00313226">
                              <w:rPr>
                                <w:rFonts w:ascii="AppleSystemUIFont" w:hAnsi="AppleSystemUIFont" w:cs="AppleSystemUIFont"/>
                              </w:rPr>
                              <w:t>Special thanks are given to Tristan Smith, and Sophie Parker from University College London, who acted as the lead specialists coordinating the development of the Criteria through the Technical Working Group</w:t>
                            </w:r>
                            <w:r>
                              <w:rPr>
                                <w:rFonts w:ascii="AppleSystemUIFont" w:hAnsi="AppleSystemUIFont" w:cs="AppleSystemUIFont"/>
                              </w:rPr>
                              <w:t xml:space="preserve">, and </w:t>
                            </w:r>
                            <w:r w:rsidRPr="00313226">
                              <w:rPr>
                                <w:rFonts w:ascii="AppleSystemUIFont" w:hAnsi="AppleSystemUIFont" w:cs="AppleSystemUIFont"/>
                              </w:rPr>
                              <w:t xml:space="preserve">to Adolf Ng, Mawuli Afenyo and Roozbeh Panahi from the University of Manitoba, who </w:t>
                            </w:r>
                            <w:r>
                              <w:rPr>
                                <w:rFonts w:ascii="AppleSystemUIFont" w:hAnsi="AppleSystemUIFont" w:cs="AppleSystemUIFont"/>
                              </w:rPr>
                              <w:t xml:space="preserve">were </w:t>
                            </w:r>
                            <w:r w:rsidRPr="00313226">
                              <w:rPr>
                                <w:rFonts w:ascii="AppleSystemUIFont" w:hAnsi="AppleSystemUIFont" w:cs="AppleSystemUIFont"/>
                              </w:rPr>
                              <w:t>instrumental to the discussion on adaptation and resilience</w:t>
                            </w:r>
                            <w:r>
                              <w:rPr>
                                <w:rFonts w:ascii="AppleSystemUIFont" w:hAnsi="AppleSystemUIFont" w:cs="AppleSystemUIFont"/>
                              </w:rPr>
                              <w:t>.</w:t>
                            </w:r>
                          </w:p>
                          <w:p w14:paraId="33500B85" w14:textId="77777777" w:rsidR="004C4A41" w:rsidRDefault="004C4A41" w:rsidP="00182943">
                            <w:pPr>
                              <w:shd w:val="clear" w:color="auto" w:fill="FBE4D5" w:themeFill="accent2" w:themeFillTint="33"/>
                              <w:rPr>
                                <w:rFonts w:ascii="AppleSystemUIFont" w:hAnsi="AppleSystemUIFont" w:cs="AppleSystemUIFont"/>
                              </w:rPr>
                            </w:pPr>
                          </w:p>
                          <w:p w14:paraId="5687B4CE" w14:textId="20D6AE95" w:rsidR="004C4A41" w:rsidRPr="00313226" w:rsidRDefault="004C4A41" w:rsidP="00182943">
                            <w:pPr>
                              <w:shd w:val="clear" w:color="auto" w:fill="FBE4D5" w:themeFill="accent2" w:themeFillTint="33"/>
                              <w:rPr>
                                <w:rFonts w:ascii="AppleSystemUIFont" w:hAnsi="AppleSystemUIFont" w:cs="AppleSystemUIFont"/>
                              </w:rPr>
                            </w:pPr>
                            <w:r>
                              <w:rPr>
                                <w:rFonts w:ascii="AppleSystemUIFont" w:hAnsi="AppleSystemUIFont" w:cs="AppleSystemUIFont"/>
                              </w:rPr>
                              <w:t>P</w:t>
                            </w:r>
                            <w:r w:rsidRPr="00313226">
                              <w:rPr>
                                <w:rFonts w:ascii="AppleSystemUIFont" w:hAnsi="AppleSystemUIFont" w:cs="AppleSystemUIFont"/>
                              </w:rPr>
                              <w:t xml:space="preserve">roposals were agreed by the Technical Working Group, taking into account feedback from the Industry Working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728C3" id="_x0000_t202" coordsize="21600,21600" o:spt="202" path="m,l,21600r21600,l21600,xe">
                <v:stroke joinstyle="miter"/>
                <v:path gradientshapeok="t" o:connecttype="rect"/>
              </v:shapetype>
              <v:shape id="Text Box 6" o:spid="_x0000_s1026" type="#_x0000_t202" style="position:absolute;left:0;text-align:left;margin-left:-7.4pt;margin-top:9.7pt;width:486.9pt;height:16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" fillcolor="white [3201]" stroked="f" strokeweight=".5pt">
                <v:textbox>
                  <w:txbxContent>
                    <w:p w14:paraId="4621B381" w14:textId="77777777" w:rsidR="004C4A41" w:rsidRDefault="004C4A41" w:rsidP="00182943">
                      <w:pPr>
                        <w:shd w:val="clear" w:color="auto" w:fill="FBE4D5" w:themeFill="accent2" w:themeFillTint="33"/>
                        <w:rPr>
                          <w:rFonts w:ascii="AppleSystemUIFont" w:hAnsi="AppleSystemUIFont" w:cs="AppleSystemUIFont"/>
                        </w:rPr>
                      </w:pPr>
                      <w:r w:rsidRPr="00313226">
                        <w:rPr>
                          <w:rFonts w:ascii="AppleSystemUIFont" w:hAnsi="AppleSystemUIFont" w:cs="AppleSystemUIFont"/>
                        </w:rPr>
                        <w:t xml:space="preserve">The Climate Bonds Initiative gratefully acknowledges the Technical and Industry Working Group members who supported the development of these Criteria. Members are listed in </w:t>
                      </w:r>
                      <w:r>
                        <w:rPr>
                          <w:rFonts w:ascii="AppleSystemUIFont" w:hAnsi="AppleSystemUIFont" w:cs="AppleSystemUIFont"/>
                        </w:rPr>
                        <w:t>Annex 2</w:t>
                      </w:r>
                      <w:r w:rsidRPr="00313226">
                        <w:rPr>
                          <w:rFonts w:ascii="AppleSystemUIFont" w:hAnsi="AppleSystemUIFont" w:cs="AppleSystemUIFont"/>
                        </w:rPr>
                        <w:t xml:space="preserve">. </w:t>
                      </w:r>
                    </w:p>
                    <w:p w14:paraId="3B9C6850" w14:textId="77777777" w:rsidR="004C4A41" w:rsidRDefault="004C4A41" w:rsidP="00182943">
                      <w:pPr>
                        <w:shd w:val="clear" w:color="auto" w:fill="FBE4D5" w:themeFill="accent2" w:themeFillTint="33"/>
                        <w:rPr>
                          <w:rFonts w:ascii="AppleSystemUIFont" w:hAnsi="AppleSystemUIFont" w:cs="AppleSystemUIFont"/>
                        </w:rPr>
                      </w:pPr>
                    </w:p>
                    <w:p w14:paraId="2C9A5F16" w14:textId="415883CF" w:rsidR="004C4A41" w:rsidRDefault="004C4A41" w:rsidP="00182943">
                      <w:pPr>
                        <w:shd w:val="clear" w:color="auto" w:fill="FBE4D5" w:themeFill="accent2" w:themeFillTint="33"/>
                        <w:rPr>
                          <w:rFonts w:ascii="AppleSystemUIFont" w:hAnsi="AppleSystemUIFont" w:cs="AppleSystemUIFont"/>
                        </w:rPr>
                      </w:pPr>
                      <w:r w:rsidRPr="00313226">
                        <w:rPr>
                          <w:rFonts w:ascii="AppleSystemUIFont" w:hAnsi="AppleSystemUIFont" w:cs="AppleSystemUIFont"/>
                        </w:rPr>
                        <w:t>Special thanks are given to Tristan Smith, and Sophie Parker from University College London, who acted as the lead specialists coordinating the development of the Criteria through the Technical Working Group</w:t>
                      </w:r>
                      <w:r>
                        <w:rPr>
                          <w:rFonts w:ascii="AppleSystemUIFont" w:hAnsi="AppleSystemUIFont" w:cs="AppleSystemUIFont"/>
                        </w:rPr>
                        <w:t xml:space="preserve">, and </w:t>
                      </w:r>
                      <w:r w:rsidRPr="00313226">
                        <w:rPr>
                          <w:rFonts w:ascii="AppleSystemUIFont" w:hAnsi="AppleSystemUIFont" w:cs="AppleSystemUIFont"/>
                        </w:rPr>
                        <w:t xml:space="preserve">to Adolf Ng, Mawuli Afenyo and Roozbeh Panahi from the University of Manitoba, who </w:t>
                      </w:r>
                      <w:r>
                        <w:rPr>
                          <w:rFonts w:ascii="AppleSystemUIFont" w:hAnsi="AppleSystemUIFont" w:cs="AppleSystemUIFont"/>
                        </w:rPr>
                        <w:t xml:space="preserve">were </w:t>
                      </w:r>
                      <w:r w:rsidRPr="00313226">
                        <w:rPr>
                          <w:rFonts w:ascii="AppleSystemUIFont" w:hAnsi="AppleSystemUIFont" w:cs="AppleSystemUIFont"/>
                        </w:rPr>
                        <w:t>instrumental to the discussion on adaptation and resilience</w:t>
                      </w:r>
                      <w:r>
                        <w:rPr>
                          <w:rFonts w:ascii="AppleSystemUIFont" w:hAnsi="AppleSystemUIFont" w:cs="AppleSystemUIFont"/>
                        </w:rPr>
                        <w:t>.</w:t>
                      </w:r>
                    </w:p>
                    <w:p w14:paraId="33500B85" w14:textId="77777777" w:rsidR="004C4A41" w:rsidRDefault="004C4A41" w:rsidP="00182943">
                      <w:pPr>
                        <w:shd w:val="clear" w:color="auto" w:fill="FBE4D5" w:themeFill="accent2" w:themeFillTint="33"/>
                        <w:rPr>
                          <w:rFonts w:ascii="AppleSystemUIFont" w:hAnsi="AppleSystemUIFont" w:cs="AppleSystemUIFont"/>
                        </w:rPr>
                      </w:pPr>
                    </w:p>
                    <w:p w14:paraId="5687B4CE" w14:textId="20D6AE95" w:rsidR="004C4A41" w:rsidRPr="00313226" w:rsidRDefault="004C4A41" w:rsidP="00182943">
                      <w:pPr>
                        <w:shd w:val="clear" w:color="auto" w:fill="FBE4D5" w:themeFill="accent2" w:themeFillTint="33"/>
                        <w:rPr>
                          <w:rFonts w:ascii="AppleSystemUIFont" w:hAnsi="AppleSystemUIFont" w:cs="AppleSystemUIFont"/>
                        </w:rPr>
                      </w:pPr>
                      <w:r>
                        <w:rPr>
                          <w:rFonts w:ascii="AppleSystemUIFont" w:hAnsi="AppleSystemUIFont" w:cs="AppleSystemUIFont"/>
                        </w:rPr>
                        <w:t>P</w:t>
                      </w:r>
                      <w:r w:rsidRPr="00313226">
                        <w:rPr>
                          <w:rFonts w:ascii="AppleSystemUIFont" w:hAnsi="AppleSystemUIFont" w:cs="AppleSystemUIFont"/>
                        </w:rPr>
                        <w:t xml:space="preserve">roposals were agreed by the Technical Working Group, taking into account feedback from the Industry Working Group. </w:t>
                      </w:r>
                    </w:p>
                  </w:txbxContent>
                </v:textbox>
              </v:shape>
            </w:pict>
          </mc:Fallback>
        </mc:AlternateContent>
      </w:r>
      <w:r>
        <w:rPr>
          <w:b/>
          <w:bCs/>
        </w:rPr>
        <w:br w:type="page"/>
      </w:r>
    </w:p>
    <w:p w14:paraId="680743FE" w14:textId="738C16CC" w:rsidR="005F5CD3" w:rsidRPr="00182943" w:rsidRDefault="005F5CD3" w:rsidP="00182943">
      <w:pPr>
        <w:pStyle w:val="Non-numberedHeading1"/>
        <w:rPr>
          <w:rFonts w:asciiTheme="minorHAnsi" w:hAnsiTheme="minorHAnsi"/>
          <w:sz w:val="20"/>
          <w:szCs w:val="20"/>
        </w:rPr>
      </w:pPr>
      <w:r w:rsidRPr="00182943">
        <w:rPr>
          <w:rFonts w:asciiTheme="minorHAnsi" w:hAnsiTheme="minorHAnsi"/>
          <w:sz w:val="20"/>
          <w:szCs w:val="20"/>
        </w:rPr>
        <w:lastRenderedPageBreak/>
        <w:t>Definitions</w:t>
      </w:r>
    </w:p>
    <w:p w14:paraId="7AEDF5A2" w14:textId="15F52F8E" w:rsidR="005F5CD3" w:rsidRPr="005F5CD3" w:rsidRDefault="005F5CD3" w:rsidP="009205FE"/>
    <w:p w14:paraId="5BEAB6AF" w14:textId="77777777"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 xml:space="preserve">Approved verifiers: </w:t>
      </w:r>
      <w:r w:rsidRPr="00182943">
        <w:rPr>
          <w:rStyle w:val="NoneA"/>
          <w:rFonts w:asciiTheme="minorHAnsi" w:hAnsiTheme="minorHAnsi"/>
          <w:sz w:val="20"/>
          <w:szCs w:val="20"/>
        </w:rPr>
        <w:t>Organisations approved by the Climate Bonds Initiative to provide assurance services to issuers of Certified Climate Bonds. The duties of approved verifiers include providing assurance that the requirements of the Climate Bonds Standard (including these and other sector specific Criteria) are met.</w:t>
      </w:r>
    </w:p>
    <w:p w14:paraId="4C308047" w14:textId="7BB608B8" w:rsidR="005F5CD3" w:rsidRPr="00182943" w:rsidRDefault="005F5CD3" w:rsidP="00182943">
      <w:pPr>
        <w:pStyle w:val="Body"/>
        <w:jc w:val="both"/>
        <w:rPr>
          <w:rStyle w:val="NoneA"/>
          <w:rFonts w:asciiTheme="minorHAnsi" w:hAnsiTheme="minorHAnsi"/>
          <w:b/>
          <w:bCs/>
          <w:sz w:val="20"/>
          <w:szCs w:val="20"/>
        </w:rPr>
      </w:pPr>
    </w:p>
    <w:p w14:paraId="56EFABAB" w14:textId="77777777"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Climate Bonds Initiative (CBI):</w:t>
      </w:r>
      <w:r w:rsidRPr="00182943">
        <w:rPr>
          <w:rStyle w:val="NoneA"/>
          <w:rFonts w:asciiTheme="minorHAnsi" w:hAnsiTheme="minorHAnsi"/>
          <w:sz w:val="20"/>
          <w:szCs w:val="20"/>
        </w:rPr>
        <w:t xml:space="preserve"> An investor-focused not-for-profit organisation, promoting large-scale investments that will deliver a global low carbon and climate resilient economy. The Initiative seeks to develop mechanisms to better align the interests of investors, industry and government so as to catalyse investments at a speed and scale sufficient to avoid dangerous climate change.</w:t>
      </w:r>
    </w:p>
    <w:p w14:paraId="56DE8292" w14:textId="62203732" w:rsidR="005F5CD3" w:rsidRPr="00182943" w:rsidRDefault="005F5CD3" w:rsidP="00182943">
      <w:pPr>
        <w:pStyle w:val="Body"/>
        <w:jc w:val="both"/>
        <w:rPr>
          <w:rStyle w:val="NoneA"/>
          <w:rFonts w:asciiTheme="minorHAnsi" w:hAnsiTheme="minorHAnsi"/>
          <w:sz w:val="20"/>
          <w:szCs w:val="20"/>
        </w:rPr>
      </w:pPr>
    </w:p>
    <w:p w14:paraId="1FE7CF8A" w14:textId="0C84DD08"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Climate Bond:</w:t>
      </w:r>
      <w:r w:rsidRPr="00182943">
        <w:rPr>
          <w:rStyle w:val="NoneA"/>
          <w:rFonts w:asciiTheme="minorHAnsi" w:hAnsiTheme="minorHAnsi"/>
          <w:sz w:val="20"/>
          <w:szCs w:val="20"/>
        </w:rPr>
        <w:t xml:space="preserve"> A </w:t>
      </w:r>
      <w:r w:rsidR="003626B3" w:rsidRPr="00182943">
        <w:rPr>
          <w:rStyle w:val="NoneA"/>
          <w:rFonts w:asciiTheme="minorHAnsi" w:hAnsiTheme="minorHAnsi"/>
          <w:sz w:val="20"/>
          <w:szCs w:val="20"/>
        </w:rPr>
        <w:t>C</w:t>
      </w:r>
      <w:r w:rsidRPr="00182943">
        <w:rPr>
          <w:rStyle w:val="NoneA"/>
          <w:rFonts w:asciiTheme="minorHAnsi" w:hAnsiTheme="minorHAnsi"/>
          <w:sz w:val="20"/>
          <w:szCs w:val="20"/>
        </w:rPr>
        <w:t xml:space="preserve">limate </w:t>
      </w:r>
      <w:r w:rsidR="003626B3" w:rsidRPr="00182943">
        <w:rPr>
          <w:rStyle w:val="NoneA"/>
          <w:rFonts w:asciiTheme="minorHAnsi" w:hAnsiTheme="minorHAnsi"/>
          <w:sz w:val="20"/>
          <w:szCs w:val="20"/>
        </w:rPr>
        <w:t>B</w:t>
      </w:r>
      <w:r w:rsidRPr="00182943">
        <w:rPr>
          <w:rStyle w:val="NoneA"/>
          <w:rFonts w:asciiTheme="minorHAnsi" w:hAnsiTheme="minorHAnsi"/>
          <w:sz w:val="20"/>
          <w:szCs w:val="20"/>
        </w:rPr>
        <w:t xml:space="preserve">ond is a bond used to finance – or re-finance - projects needed to address climate change. They range from wind farms and hydropower plants, to rail transport and building sea walls in cities threatened by rising sea levels. Only a small portion of these bonds have been labelled as green or climate bonds by their issuers. </w:t>
      </w:r>
    </w:p>
    <w:p w14:paraId="101C8CB4" w14:textId="77777777" w:rsidR="005F5CD3" w:rsidRPr="00182943" w:rsidRDefault="005F5CD3" w:rsidP="00182943">
      <w:pPr>
        <w:pStyle w:val="Body"/>
        <w:jc w:val="both"/>
        <w:rPr>
          <w:rStyle w:val="NoneA"/>
          <w:rFonts w:asciiTheme="minorHAnsi" w:hAnsiTheme="minorHAnsi"/>
          <w:sz w:val="20"/>
          <w:szCs w:val="20"/>
        </w:rPr>
      </w:pPr>
    </w:p>
    <w:p w14:paraId="520227DC" w14:textId="1B11ACBD"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Certified Climate Bond:</w:t>
      </w:r>
      <w:r w:rsidRPr="00182943">
        <w:rPr>
          <w:rStyle w:val="NoneA"/>
          <w:rFonts w:asciiTheme="minorHAnsi" w:hAnsiTheme="minorHAnsi"/>
          <w:sz w:val="20"/>
          <w:szCs w:val="20"/>
        </w:rPr>
        <w:t xml:space="preserve"> A Climate Bond that is certified by the Climate Bonds Standard Board as meeting the requirements of the Climate Bonds Standard, as attested through independent verification.</w:t>
      </w:r>
    </w:p>
    <w:p w14:paraId="08F26C7B" w14:textId="77777777" w:rsidR="005F5CD3" w:rsidRPr="00182943" w:rsidRDefault="005F5CD3" w:rsidP="00182943">
      <w:pPr>
        <w:pStyle w:val="Body"/>
        <w:jc w:val="both"/>
        <w:rPr>
          <w:rStyle w:val="NoneA"/>
          <w:rFonts w:asciiTheme="minorHAnsi" w:hAnsiTheme="minorHAnsi"/>
          <w:sz w:val="20"/>
          <w:szCs w:val="20"/>
        </w:rPr>
      </w:pPr>
    </w:p>
    <w:p w14:paraId="1BEEC726" w14:textId="77777777"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Climate Bonds Standard (CBS):</w:t>
      </w:r>
      <w:r w:rsidRPr="00182943">
        <w:rPr>
          <w:rStyle w:val="NoneA"/>
          <w:rFonts w:asciiTheme="minorHAnsi" w:hAnsiTheme="minorHAnsi"/>
          <w:sz w:val="20"/>
          <w:szCs w:val="20"/>
        </w:rPr>
        <w:t xml:space="preserve"> A screening tool for investors and governments that allows them to identify green bonds where they can be confident that the funds are being used to deliver climate change solutions. This may be through climate mitigation impact and/ or climate adaptation or resilience. The CBS is made up of two parts: the parent standard (Climate Bonds Standard v.3) and a suite of sector specific eligibility Criteria. The parent standard covers the certification process and pre- and post-issuance requirements for all certified bonds, regardless of the nature of the capital projects. The Sector Criteria detail specific requirements for assets identified as falling under that specific sector. The latest version of the CBS is published on the Climate Bonds Initiative website</w:t>
      </w:r>
    </w:p>
    <w:p w14:paraId="1297BFBB" w14:textId="11844F9C" w:rsidR="005F5CD3" w:rsidRPr="00182943" w:rsidRDefault="005F5CD3" w:rsidP="00182943">
      <w:pPr>
        <w:pStyle w:val="Body"/>
        <w:jc w:val="both"/>
        <w:rPr>
          <w:rStyle w:val="NoneA"/>
          <w:rFonts w:asciiTheme="minorHAnsi" w:hAnsiTheme="minorHAnsi"/>
          <w:b/>
          <w:bCs/>
          <w:sz w:val="20"/>
          <w:szCs w:val="20"/>
        </w:rPr>
      </w:pPr>
      <w:r w:rsidRPr="00182943">
        <w:rPr>
          <w:rStyle w:val="NoneA"/>
          <w:rFonts w:asciiTheme="minorHAnsi" w:hAnsiTheme="minorHAnsi"/>
          <w:b/>
          <w:bCs/>
          <w:sz w:val="20"/>
          <w:szCs w:val="20"/>
        </w:rPr>
        <w:t xml:space="preserve"> </w:t>
      </w:r>
    </w:p>
    <w:p w14:paraId="53B92CF8" w14:textId="62027036"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Climate Bonds Standard Board (CBSB):</w:t>
      </w:r>
      <w:r w:rsidRPr="00182943">
        <w:rPr>
          <w:rStyle w:val="NoneA"/>
          <w:rFonts w:asciiTheme="minorHAnsi" w:hAnsiTheme="minorHAnsi"/>
          <w:sz w:val="20"/>
          <w:szCs w:val="20"/>
        </w:rPr>
        <w:t xml:space="preserve"> A board of independent members that collectively represents $34 trillion of assets under management. The CBSB is responsible for approving </w:t>
      </w:r>
      <w:proofErr w:type="spellStart"/>
      <w:r w:rsidRPr="00182943">
        <w:rPr>
          <w:rStyle w:val="NoneA"/>
          <w:rFonts w:asciiTheme="minorHAnsi" w:hAnsiTheme="minorHAnsi"/>
          <w:sz w:val="20"/>
          <w:szCs w:val="20"/>
        </w:rPr>
        <w:t>i</w:t>
      </w:r>
      <w:proofErr w:type="spellEnd"/>
      <w:r w:rsidRPr="00182943">
        <w:rPr>
          <w:rStyle w:val="NoneA"/>
          <w:rFonts w:asciiTheme="minorHAnsi" w:hAnsiTheme="minorHAnsi"/>
          <w:sz w:val="20"/>
          <w:szCs w:val="20"/>
        </w:rPr>
        <w:t xml:space="preserve">) Revisions to the Climate Bonds Standard, including the adoption of additional sector Criteria, ii) Approved verifiers, and iii) Applications for Certification of a bond under the Climate Bonds Standard. The CBSB is constituted, appointed and supported in line with the governance arrangements and processes as published on the Climate Bonds Initiative website. </w:t>
      </w:r>
    </w:p>
    <w:p w14:paraId="7FAAC668" w14:textId="558A81CF" w:rsidR="005F5CD3" w:rsidRPr="00182943" w:rsidRDefault="005F5CD3" w:rsidP="00182943">
      <w:pPr>
        <w:pStyle w:val="Body"/>
        <w:jc w:val="both"/>
        <w:rPr>
          <w:rStyle w:val="NoneA"/>
          <w:rFonts w:asciiTheme="minorHAnsi" w:hAnsiTheme="minorHAnsi"/>
          <w:sz w:val="20"/>
          <w:szCs w:val="20"/>
        </w:rPr>
      </w:pPr>
    </w:p>
    <w:p w14:paraId="0A5BFAF2" w14:textId="77777777"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Climate Bond Certification:</w:t>
      </w:r>
      <w:r w:rsidRPr="00182943">
        <w:rPr>
          <w:rStyle w:val="NoneA"/>
          <w:rFonts w:asciiTheme="minorHAnsi" w:hAnsiTheme="minorHAnsi"/>
          <w:sz w:val="20"/>
          <w:szCs w:val="20"/>
        </w:rPr>
        <w:t xml:space="preserve"> allows the issuer to use the Climate Bond Certification Mark in relation to that bond. Climate Bond Certification is provided once the independent Climate Bonds Standard Board is satisfied the bond conforms with the Climate Bonds Standard. </w:t>
      </w:r>
    </w:p>
    <w:p w14:paraId="3DA2D01F" w14:textId="7C4C2A3C" w:rsidR="005F5CD3" w:rsidRPr="00182943" w:rsidRDefault="005F5CD3" w:rsidP="00182943">
      <w:pPr>
        <w:pStyle w:val="Body"/>
        <w:jc w:val="both"/>
        <w:rPr>
          <w:rStyle w:val="NoneA"/>
          <w:rFonts w:asciiTheme="minorHAnsi" w:hAnsiTheme="minorHAnsi"/>
          <w:sz w:val="20"/>
          <w:szCs w:val="20"/>
        </w:rPr>
      </w:pPr>
    </w:p>
    <w:p w14:paraId="4791273C" w14:textId="77777777"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Green Bond:</w:t>
      </w:r>
      <w:r w:rsidRPr="00182943">
        <w:rPr>
          <w:rStyle w:val="NoneA"/>
          <w:rFonts w:asciiTheme="minorHAnsi" w:hAnsiTheme="minorHAnsi"/>
          <w:sz w:val="20"/>
          <w:szCs w:val="20"/>
        </w:rPr>
        <w:t xml:space="preserve"> A Green Bond is where proceeds are allocated to environmental projects. The term generally refers to bonds that have been marketed as “Green”. In theory, Green Bonds proceeds could be used for a wide variety of environmental projects, but in practice they have mostly been the same as Climate Bonds, with proceeds going to climate change projects.</w:t>
      </w:r>
    </w:p>
    <w:p w14:paraId="10FD4C37" w14:textId="1D7391C4" w:rsidR="005F5CD3" w:rsidRPr="00182943" w:rsidRDefault="005F5CD3" w:rsidP="00182943">
      <w:pPr>
        <w:pStyle w:val="Body"/>
        <w:jc w:val="both"/>
        <w:rPr>
          <w:rStyle w:val="NoneA"/>
          <w:rFonts w:asciiTheme="minorHAnsi" w:hAnsiTheme="minorHAnsi"/>
          <w:sz w:val="20"/>
          <w:szCs w:val="20"/>
        </w:rPr>
      </w:pPr>
    </w:p>
    <w:p w14:paraId="699FAA4B" w14:textId="2CA880B0" w:rsidR="005F5CD3"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Technical Working Group (TWG):</w:t>
      </w:r>
      <w:r w:rsidRPr="00182943">
        <w:rPr>
          <w:rStyle w:val="NoneA"/>
          <w:rFonts w:asciiTheme="minorHAnsi" w:hAnsiTheme="minorHAnsi"/>
          <w:sz w:val="20"/>
          <w:szCs w:val="20"/>
        </w:rPr>
        <w:t xml:space="preserve"> A group of key experts from academia, international agencies, industry and NGOs convened by the Climate Bonds Initiative. The TWG develops the Sector Criteria - detailed technical criteria for the eligibility of projects and assets as well as guidance on the tracking of eligibility status during the term of the bond. Their draft recommendations are refined through engagement with finance industry experts in convened Industry Working Groups and through public consultation. Final approval of Sector Criteria is given by the CBSB.</w:t>
      </w:r>
    </w:p>
    <w:p w14:paraId="57CA58D0" w14:textId="2D54E380" w:rsidR="005F5CD3" w:rsidRPr="00182943" w:rsidRDefault="005F5CD3" w:rsidP="00182943">
      <w:pPr>
        <w:pStyle w:val="Body"/>
        <w:jc w:val="both"/>
        <w:rPr>
          <w:rStyle w:val="NoneA"/>
          <w:rFonts w:asciiTheme="minorHAnsi" w:hAnsiTheme="minorHAnsi"/>
          <w:sz w:val="20"/>
          <w:szCs w:val="20"/>
        </w:rPr>
      </w:pPr>
    </w:p>
    <w:p w14:paraId="101F11DC" w14:textId="106A53B5" w:rsidR="00EE161E" w:rsidRPr="00182943" w:rsidRDefault="005F5CD3" w:rsidP="00182943">
      <w:pPr>
        <w:pStyle w:val="Body"/>
        <w:jc w:val="both"/>
        <w:rPr>
          <w:rStyle w:val="NoneA"/>
          <w:rFonts w:asciiTheme="minorHAnsi" w:hAnsiTheme="minorHAnsi"/>
          <w:sz w:val="20"/>
          <w:szCs w:val="20"/>
        </w:rPr>
      </w:pPr>
      <w:r w:rsidRPr="00182943">
        <w:rPr>
          <w:rStyle w:val="NoneA"/>
          <w:rFonts w:asciiTheme="minorHAnsi" w:hAnsiTheme="minorHAnsi"/>
          <w:b/>
          <w:bCs/>
          <w:sz w:val="20"/>
          <w:szCs w:val="20"/>
        </w:rPr>
        <w:t>Industry Working Group (IWG):</w:t>
      </w:r>
      <w:r w:rsidRPr="00182943">
        <w:rPr>
          <w:rStyle w:val="NoneA"/>
          <w:rFonts w:asciiTheme="minorHAnsi" w:hAnsiTheme="minorHAnsi"/>
          <w:sz w:val="20"/>
          <w:szCs w:val="20"/>
        </w:rPr>
        <w:t xml:space="preserve"> A group of key organisations that are potential issuers, verifiers and investors convened by the Climate Bonds Initiative. The IWG provides feedback on the draft sector Criteria developed by the TWG before they are released for public consultation</w:t>
      </w:r>
    </w:p>
    <w:p w14:paraId="64519ED5" w14:textId="5252D9C2" w:rsidR="00E00DF5" w:rsidRPr="00182943" w:rsidRDefault="00E00DF5" w:rsidP="00182943">
      <w:pPr>
        <w:pStyle w:val="Body"/>
        <w:jc w:val="both"/>
        <w:rPr>
          <w:rStyle w:val="NoneA"/>
          <w:rFonts w:asciiTheme="minorHAnsi" w:hAnsiTheme="minorHAnsi"/>
          <w:sz w:val="20"/>
          <w:szCs w:val="20"/>
        </w:rPr>
      </w:pPr>
      <w:r w:rsidRPr="00182943">
        <w:rPr>
          <w:rStyle w:val="NoneA"/>
          <w:rFonts w:asciiTheme="minorHAnsi" w:hAnsiTheme="minorHAnsi"/>
          <w:sz w:val="20"/>
          <w:szCs w:val="20"/>
        </w:rPr>
        <w:br w:type="page"/>
      </w:r>
    </w:p>
    <w:sdt>
      <w:sdtPr>
        <w:rPr>
          <w:rFonts w:asciiTheme="minorHAnsi" w:eastAsiaTheme="minorHAnsi" w:hAnsiTheme="minorHAnsi" w:cstheme="minorBidi"/>
          <w:b w:val="0"/>
          <w:bCs w:val="0"/>
          <w:color w:val="auto"/>
          <w:sz w:val="24"/>
          <w:szCs w:val="24"/>
          <w:lang w:val="en-GB"/>
        </w:rPr>
        <w:id w:val="-675654455"/>
        <w:docPartObj>
          <w:docPartGallery w:val="Table of Contents"/>
          <w:docPartUnique/>
        </w:docPartObj>
      </w:sdtPr>
      <w:sdtEndPr>
        <w:rPr>
          <w:rFonts w:cstheme="minorHAnsi"/>
          <w:noProof/>
        </w:rPr>
      </w:sdtEndPr>
      <w:sdtContent>
        <w:p w14:paraId="3D326548" w14:textId="674CDC2E" w:rsidR="00EE464D" w:rsidRDefault="00E00DF5" w:rsidP="009205FE">
          <w:pPr>
            <w:pStyle w:val="TOCHeading"/>
          </w:pPr>
          <w:r>
            <w:t>Ta</w:t>
          </w:r>
          <w:r w:rsidR="00EE464D">
            <w:t>ble of Contents</w:t>
          </w:r>
        </w:p>
        <w:p w14:paraId="0871FC8B" w14:textId="45DB29C4" w:rsidR="003626B3" w:rsidRDefault="00EE464D">
          <w:pPr>
            <w:pStyle w:val="TOC1"/>
            <w:rPr>
              <w:rFonts w:eastAsiaTheme="minorEastAsia" w:cstheme="minorBidi"/>
              <w:b w:val="0"/>
              <w:bCs w:val="0"/>
              <w:caps w:val="0"/>
              <w:noProof/>
              <w:sz w:val="24"/>
              <w:szCs w:val="24"/>
              <w:lang w:eastAsia="en-GB"/>
            </w:rPr>
          </w:pPr>
          <w:r>
            <w:rPr>
              <w:smallCaps/>
            </w:rPr>
            <w:fldChar w:fldCharType="begin"/>
          </w:r>
          <w:r>
            <w:instrText xml:space="preserve"> TOC \o "1-3" \h \z \u </w:instrText>
          </w:r>
          <w:r>
            <w:rPr>
              <w:smallCaps/>
            </w:rPr>
            <w:fldChar w:fldCharType="separate"/>
          </w:r>
          <w:hyperlink w:anchor="_Toc37692157" w:history="1">
            <w:r w:rsidR="003626B3" w:rsidRPr="003A47C2">
              <w:rPr>
                <w:rStyle w:val="Hyperlink"/>
                <w:noProof/>
                <w:bdr w:val="nil"/>
                <w:lang w:eastAsia="en-GB"/>
              </w:rPr>
              <w:t>1.</w:t>
            </w:r>
            <w:r w:rsidR="003626B3">
              <w:rPr>
                <w:rFonts w:eastAsiaTheme="minorEastAsia" w:cstheme="minorBidi"/>
                <w:b w:val="0"/>
                <w:bCs w:val="0"/>
                <w:caps w:val="0"/>
                <w:noProof/>
                <w:sz w:val="24"/>
                <w:szCs w:val="24"/>
                <w:lang w:eastAsia="en-GB"/>
              </w:rPr>
              <w:tab/>
            </w:r>
            <w:r w:rsidR="003626B3" w:rsidRPr="003A47C2">
              <w:rPr>
                <w:rStyle w:val="Hyperlink"/>
                <w:noProof/>
                <w:bdr w:val="nil"/>
                <w:lang w:eastAsia="en-GB"/>
              </w:rPr>
              <w:t>Introduction</w:t>
            </w:r>
            <w:r w:rsidR="003626B3" w:rsidRPr="003A47C2">
              <w:rPr>
                <w:rStyle w:val="Hyperlink"/>
                <w:rFonts w:ascii="MS Gothic" w:eastAsia="MS Gothic" w:hAnsi="MS Gothic" w:cs="MS Gothic" w:hint="eastAsia"/>
                <w:noProof/>
                <w:bdr w:val="nil"/>
                <w:lang w:eastAsia="en-GB"/>
              </w:rPr>
              <w:t> </w:t>
            </w:r>
            <w:r w:rsidR="003626B3">
              <w:rPr>
                <w:noProof/>
                <w:webHidden/>
              </w:rPr>
              <w:tab/>
            </w:r>
            <w:r w:rsidR="003626B3">
              <w:rPr>
                <w:noProof/>
                <w:webHidden/>
              </w:rPr>
              <w:fldChar w:fldCharType="begin"/>
            </w:r>
            <w:r w:rsidR="003626B3">
              <w:rPr>
                <w:noProof/>
                <w:webHidden/>
              </w:rPr>
              <w:instrText xml:space="preserve"> PAGEREF _Toc37692157 \h </w:instrText>
            </w:r>
            <w:r w:rsidR="003626B3">
              <w:rPr>
                <w:noProof/>
                <w:webHidden/>
              </w:rPr>
            </w:r>
            <w:r w:rsidR="003626B3">
              <w:rPr>
                <w:noProof/>
                <w:webHidden/>
              </w:rPr>
              <w:fldChar w:fldCharType="separate"/>
            </w:r>
            <w:r w:rsidR="00070722">
              <w:rPr>
                <w:noProof/>
                <w:webHidden/>
              </w:rPr>
              <w:t>3</w:t>
            </w:r>
            <w:r w:rsidR="003626B3">
              <w:rPr>
                <w:noProof/>
                <w:webHidden/>
              </w:rPr>
              <w:fldChar w:fldCharType="end"/>
            </w:r>
          </w:hyperlink>
        </w:p>
        <w:p w14:paraId="17F2085C" w14:textId="5EB292DE" w:rsidR="003626B3" w:rsidRDefault="00980DC8">
          <w:pPr>
            <w:pStyle w:val="TOC1"/>
            <w:rPr>
              <w:rFonts w:eastAsiaTheme="minorEastAsia" w:cstheme="minorBidi"/>
              <w:b w:val="0"/>
              <w:bCs w:val="0"/>
              <w:caps w:val="0"/>
              <w:noProof/>
              <w:sz w:val="24"/>
              <w:szCs w:val="24"/>
              <w:lang w:eastAsia="en-GB"/>
            </w:rPr>
          </w:pPr>
          <w:hyperlink w:anchor="_Toc37692158" w:history="1">
            <w:r w:rsidR="003626B3" w:rsidRPr="003A47C2">
              <w:rPr>
                <w:rStyle w:val="Hyperlink"/>
                <w:noProof/>
                <w:bdr w:val="nil"/>
                <w:lang w:eastAsia="en-GB"/>
              </w:rPr>
              <w:t>2.</w:t>
            </w:r>
            <w:r w:rsidR="003626B3">
              <w:rPr>
                <w:rFonts w:eastAsiaTheme="minorEastAsia" w:cstheme="minorBidi"/>
                <w:b w:val="0"/>
                <w:bCs w:val="0"/>
                <w:caps w:val="0"/>
                <w:noProof/>
                <w:sz w:val="24"/>
                <w:szCs w:val="24"/>
                <w:lang w:eastAsia="en-GB"/>
              </w:rPr>
              <w:tab/>
            </w:r>
            <w:r w:rsidR="003626B3" w:rsidRPr="003A47C2">
              <w:rPr>
                <w:rStyle w:val="Hyperlink"/>
                <w:noProof/>
                <w:bdr w:val="nil"/>
                <w:lang w:eastAsia="en-GB"/>
              </w:rPr>
              <w:t>The Need for Shipping Criteria</w:t>
            </w:r>
            <w:r w:rsidR="003626B3">
              <w:rPr>
                <w:noProof/>
                <w:webHidden/>
              </w:rPr>
              <w:tab/>
            </w:r>
            <w:r w:rsidR="003626B3">
              <w:rPr>
                <w:noProof/>
                <w:webHidden/>
              </w:rPr>
              <w:fldChar w:fldCharType="begin"/>
            </w:r>
            <w:r w:rsidR="003626B3">
              <w:rPr>
                <w:noProof/>
                <w:webHidden/>
              </w:rPr>
              <w:instrText xml:space="preserve"> PAGEREF _Toc37692158 \h </w:instrText>
            </w:r>
            <w:r w:rsidR="003626B3">
              <w:rPr>
                <w:noProof/>
                <w:webHidden/>
              </w:rPr>
            </w:r>
            <w:r w:rsidR="003626B3">
              <w:rPr>
                <w:noProof/>
                <w:webHidden/>
              </w:rPr>
              <w:fldChar w:fldCharType="separate"/>
            </w:r>
            <w:r w:rsidR="00070722">
              <w:rPr>
                <w:noProof/>
                <w:webHidden/>
              </w:rPr>
              <w:t>4</w:t>
            </w:r>
            <w:r w:rsidR="003626B3">
              <w:rPr>
                <w:noProof/>
                <w:webHidden/>
              </w:rPr>
              <w:fldChar w:fldCharType="end"/>
            </w:r>
          </w:hyperlink>
        </w:p>
        <w:p w14:paraId="3B377D2D" w14:textId="7549C76D" w:rsidR="003626B3" w:rsidRDefault="00980DC8">
          <w:pPr>
            <w:pStyle w:val="TOC1"/>
            <w:rPr>
              <w:rFonts w:eastAsiaTheme="minorEastAsia" w:cstheme="minorBidi"/>
              <w:b w:val="0"/>
              <w:bCs w:val="0"/>
              <w:caps w:val="0"/>
              <w:noProof/>
              <w:sz w:val="24"/>
              <w:szCs w:val="24"/>
              <w:lang w:eastAsia="en-GB"/>
            </w:rPr>
          </w:pPr>
          <w:hyperlink w:anchor="_Toc37692159" w:history="1">
            <w:r w:rsidR="003626B3" w:rsidRPr="003A47C2">
              <w:rPr>
                <w:rStyle w:val="Hyperlink"/>
                <w:noProof/>
                <w:bdr w:val="nil"/>
                <w:lang w:eastAsia="en-GB"/>
              </w:rPr>
              <w:t>3.</w:t>
            </w:r>
            <w:r w:rsidR="003626B3">
              <w:rPr>
                <w:rFonts w:eastAsiaTheme="minorEastAsia" w:cstheme="minorBidi"/>
                <w:b w:val="0"/>
                <w:bCs w:val="0"/>
                <w:caps w:val="0"/>
                <w:noProof/>
                <w:sz w:val="24"/>
                <w:szCs w:val="24"/>
                <w:lang w:eastAsia="en-GB"/>
              </w:rPr>
              <w:tab/>
            </w:r>
            <w:r w:rsidR="003626B3" w:rsidRPr="003A47C2">
              <w:rPr>
                <w:rStyle w:val="Hyperlink"/>
                <w:noProof/>
                <w:bdr w:val="nil"/>
                <w:lang w:eastAsia="en-GB"/>
              </w:rPr>
              <w:t>Assets and Projects that can be assessed under these Criteria</w:t>
            </w:r>
            <w:r w:rsidR="003626B3">
              <w:rPr>
                <w:noProof/>
                <w:webHidden/>
              </w:rPr>
              <w:tab/>
            </w:r>
            <w:r w:rsidR="003626B3">
              <w:rPr>
                <w:noProof/>
                <w:webHidden/>
              </w:rPr>
              <w:fldChar w:fldCharType="begin"/>
            </w:r>
            <w:r w:rsidR="003626B3">
              <w:rPr>
                <w:noProof/>
                <w:webHidden/>
              </w:rPr>
              <w:instrText xml:space="preserve"> PAGEREF _Toc37692159 \h </w:instrText>
            </w:r>
            <w:r w:rsidR="003626B3">
              <w:rPr>
                <w:noProof/>
                <w:webHidden/>
              </w:rPr>
            </w:r>
            <w:r w:rsidR="003626B3">
              <w:rPr>
                <w:noProof/>
                <w:webHidden/>
              </w:rPr>
              <w:fldChar w:fldCharType="separate"/>
            </w:r>
            <w:r w:rsidR="00070722">
              <w:rPr>
                <w:noProof/>
                <w:webHidden/>
              </w:rPr>
              <w:t>4</w:t>
            </w:r>
            <w:r w:rsidR="003626B3">
              <w:rPr>
                <w:noProof/>
                <w:webHidden/>
              </w:rPr>
              <w:fldChar w:fldCharType="end"/>
            </w:r>
          </w:hyperlink>
        </w:p>
        <w:p w14:paraId="5AC9F353" w14:textId="57AE45C4" w:rsidR="003626B3" w:rsidRDefault="00980DC8">
          <w:pPr>
            <w:pStyle w:val="TOC1"/>
            <w:rPr>
              <w:rFonts w:eastAsiaTheme="minorEastAsia" w:cstheme="minorBidi"/>
              <w:b w:val="0"/>
              <w:bCs w:val="0"/>
              <w:caps w:val="0"/>
              <w:noProof/>
              <w:sz w:val="24"/>
              <w:szCs w:val="24"/>
              <w:lang w:eastAsia="en-GB"/>
            </w:rPr>
          </w:pPr>
          <w:hyperlink w:anchor="_Toc37692160" w:history="1">
            <w:r w:rsidR="003626B3" w:rsidRPr="003A47C2">
              <w:rPr>
                <w:rStyle w:val="Hyperlink"/>
                <w:noProof/>
                <w:bdr w:val="nil"/>
                <w:lang w:eastAsia="en-GB"/>
              </w:rPr>
              <w:t>4.</w:t>
            </w:r>
            <w:r w:rsidR="003626B3">
              <w:rPr>
                <w:rFonts w:eastAsiaTheme="minorEastAsia" w:cstheme="minorBidi"/>
                <w:b w:val="0"/>
                <w:bCs w:val="0"/>
                <w:caps w:val="0"/>
                <w:noProof/>
                <w:sz w:val="24"/>
                <w:szCs w:val="24"/>
                <w:lang w:eastAsia="en-GB"/>
              </w:rPr>
              <w:tab/>
            </w:r>
            <w:r w:rsidR="003626B3" w:rsidRPr="003A47C2">
              <w:rPr>
                <w:rStyle w:val="Hyperlink"/>
                <w:noProof/>
                <w:bdr w:val="nil"/>
                <w:lang w:eastAsia="en-GB"/>
              </w:rPr>
              <w:t>Mitigation Criteria for Vessels</w:t>
            </w:r>
            <w:r w:rsidR="003626B3">
              <w:rPr>
                <w:noProof/>
                <w:webHidden/>
              </w:rPr>
              <w:tab/>
            </w:r>
            <w:r w:rsidR="003626B3">
              <w:rPr>
                <w:noProof/>
                <w:webHidden/>
              </w:rPr>
              <w:fldChar w:fldCharType="begin"/>
            </w:r>
            <w:r w:rsidR="003626B3">
              <w:rPr>
                <w:noProof/>
                <w:webHidden/>
              </w:rPr>
              <w:instrText xml:space="preserve"> PAGEREF _Toc37692160 \h </w:instrText>
            </w:r>
            <w:r w:rsidR="003626B3">
              <w:rPr>
                <w:noProof/>
                <w:webHidden/>
              </w:rPr>
            </w:r>
            <w:r w:rsidR="003626B3">
              <w:rPr>
                <w:noProof/>
                <w:webHidden/>
              </w:rPr>
              <w:fldChar w:fldCharType="separate"/>
            </w:r>
            <w:r w:rsidR="00070722">
              <w:rPr>
                <w:noProof/>
                <w:webHidden/>
              </w:rPr>
              <w:t>6</w:t>
            </w:r>
            <w:r w:rsidR="003626B3">
              <w:rPr>
                <w:noProof/>
                <w:webHidden/>
              </w:rPr>
              <w:fldChar w:fldCharType="end"/>
            </w:r>
          </w:hyperlink>
        </w:p>
        <w:p w14:paraId="1088980A" w14:textId="3D07527C" w:rsidR="003626B3" w:rsidRDefault="00980DC8">
          <w:pPr>
            <w:pStyle w:val="TOC1"/>
            <w:rPr>
              <w:rFonts w:eastAsiaTheme="minorEastAsia" w:cstheme="minorBidi"/>
              <w:b w:val="0"/>
              <w:bCs w:val="0"/>
              <w:caps w:val="0"/>
              <w:noProof/>
              <w:sz w:val="24"/>
              <w:szCs w:val="24"/>
              <w:lang w:eastAsia="en-GB"/>
            </w:rPr>
          </w:pPr>
          <w:hyperlink w:anchor="_Toc37692161" w:history="1">
            <w:r w:rsidR="003626B3" w:rsidRPr="003A47C2">
              <w:rPr>
                <w:rStyle w:val="Hyperlink"/>
                <w:noProof/>
              </w:rPr>
              <w:t>5.</w:t>
            </w:r>
            <w:r w:rsidR="003626B3">
              <w:rPr>
                <w:rFonts w:eastAsiaTheme="minorEastAsia" w:cstheme="minorBidi"/>
                <w:b w:val="0"/>
                <w:bCs w:val="0"/>
                <w:caps w:val="0"/>
                <w:noProof/>
                <w:sz w:val="24"/>
                <w:szCs w:val="24"/>
                <w:lang w:eastAsia="en-GB"/>
              </w:rPr>
              <w:tab/>
            </w:r>
            <w:r w:rsidR="003626B3" w:rsidRPr="003A47C2">
              <w:rPr>
                <w:rStyle w:val="Hyperlink"/>
                <w:noProof/>
              </w:rPr>
              <w:t>Managed Reduction Plans</w:t>
            </w:r>
            <w:r w:rsidR="003626B3">
              <w:rPr>
                <w:noProof/>
                <w:webHidden/>
              </w:rPr>
              <w:tab/>
            </w:r>
            <w:r w:rsidR="003626B3">
              <w:rPr>
                <w:noProof/>
                <w:webHidden/>
              </w:rPr>
              <w:fldChar w:fldCharType="begin"/>
            </w:r>
            <w:r w:rsidR="003626B3">
              <w:rPr>
                <w:noProof/>
                <w:webHidden/>
              </w:rPr>
              <w:instrText xml:space="preserve"> PAGEREF _Toc37692161 \h </w:instrText>
            </w:r>
            <w:r w:rsidR="003626B3">
              <w:rPr>
                <w:noProof/>
                <w:webHidden/>
              </w:rPr>
            </w:r>
            <w:r w:rsidR="003626B3">
              <w:rPr>
                <w:noProof/>
                <w:webHidden/>
              </w:rPr>
              <w:fldChar w:fldCharType="separate"/>
            </w:r>
            <w:r w:rsidR="00070722">
              <w:rPr>
                <w:noProof/>
                <w:webHidden/>
              </w:rPr>
              <w:t>8</w:t>
            </w:r>
            <w:r w:rsidR="003626B3">
              <w:rPr>
                <w:noProof/>
                <w:webHidden/>
              </w:rPr>
              <w:fldChar w:fldCharType="end"/>
            </w:r>
          </w:hyperlink>
        </w:p>
        <w:p w14:paraId="633D65C9" w14:textId="1CFE3341" w:rsidR="003626B3" w:rsidRDefault="00980DC8">
          <w:pPr>
            <w:pStyle w:val="TOC1"/>
            <w:rPr>
              <w:rFonts w:eastAsiaTheme="minorEastAsia" w:cstheme="minorBidi"/>
              <w:b w:val="0"/>
              <w:bCs w:val="0"/>
              <w:caps w:val="0"/>
              <w:noProof/>
              <w:sz w:val="24"/>
              <w:szCs w:val="24"/>
              <w:lang w:eastAsia="en-GB"/>
            </w:rPr>
          </w:pPr>
          <w:hyperlink w:anchor="_Toc37692162" w:history="1">
            <w:r w:rsidR="003626B3" w:rsidRPr="003A47C2">
              <w:rPr>
                <w:rStyle w:val="Hyperlink"/>
                <w:noProof/>
              </w:rPr>
              <w:t>6.</w:t>
            </w:r>
            <w:r w:rsidR="003626B3">
              <w:rPr>
                <w:rFonts w:eastAsiaTheme="minorEastAsia" w:cstheme="minorBidi"/>
                <w:b w:val="0"/>
                <w:bCs w:val="0"/>
                <w:caps w:val="0"/>
                <w:noProof/>
                <w:sz w:val="24"/>
                <w:szCs w:val="24"/>
                <w:lang w:eastAsia="en-GB"/>
              </w:rPr>
              <w:tab/>
            </w:r>
            <w:r w:rsidR="003626B3" w:rsidRPr="003A47C2">
              <w:rPr>
                <w:rStyle w:val="Hyperlink"/>
                <w:noProof/>
              </w:rPr>
              <w:t>Disclosure</w:t>
            </w:r>
            <w:r w:rsidR="003626B3">
              <w:rPr>
                <w:noProof/>
                <w:webHidden/>
              </w:rPr>
              <w:tab/>
            </w:r>
            <w:r w:rsidR="003626B3">
              <w:rPr>
                <w:noProof/>
                <w:webHidden/>
              </w:rPr>
              <w:fldChar w:fldCharType="begin"/>
            </w:r>
            <w:r w:rsidR="003626B3">
              <w:rPr>
                <w:noProof/>
                <w:webHidden/>
              </w:rPr>
              <w:instrText xml:space="preserve"> PAGEREF _Toc37692162 \h </w:instrText>
            </w:r>
            <w:r w:rsidR="003626B3">
              <w:rPr>
                <w:noProof/>
                <w:webHidden/>
              </w:rPr>
            </w:r>
            <w:r w:rsidR="003626B3">
              <w:rPr>
                <w:noProof/>
                <w:webHidden/>
              </w:rPr>
              <w:fldChar w:fldCharType="separate"/>
            </w:r>
            <w:r w:rsidR="00070722">
              <w:rPr>
                <w:noProof/>
                <w:webHidden/>
              </w:rPr>
              <w:t>9</w:t>
            </w:r>
            <w:r w:rsidR="003626B3">
              <w:rPr>
                <w:noProof/>
                <w:webHidden/>
              </w:rPr>
              <w:fldChar w:fldCharType="end"/>
            </w:r>
          </w:hyperlink>
        </w:p>
        <w:p w14:paraId="4576CC07" w14:textId="47EEC5D7" w:rsidR="003626B3" w:rsidRDefault="00980DC8">
          <w:pPr>
            <w:pStyle w:val="TOC1"/>
            <w:rPr>
              <w:rFonts w:eastAsiaTheme="minorEastAsia" w:cstheme="minorBidi"/>
              <w:b w:val="0"/>
              <w:bCs w:val="0"/>
              <w:caps w:val="0"/>
              <w:noProof/>
              <w:sz w:val="24"/>
              <w:szCs w:val="24"/>
              <w:lang w:eastAsia="en-GB"/>
            </w:rPr>
          </w:pPr>
          <w:hyperlink w:anchor="_Toc37692163" w:history="1">
            <w:r w:rsidR="003626B3" w:rsidRPr="003A47C2">
              <w:rPr>
                <w:rStyle w:val="Hyperlink"/>
                <w:noProof/>
              </w:rPr>
              <w:t>7.</w:t>
            </w:r>
            <w:r w:rsidR="003626B3">
              <w:rPr>
                <w:rFonts w:eastAsiaTheme="minorEastAsia" w:cstheme="minorBidi"/>
                <w:b w:val="0"/>
                <w:bCs w:val="0"/>
                <w:caps w:val="0"/>
                <w:noProof/>
                <w:sz w:val="24"/>
                <w:szCs w:val="24"/>
                <w:lang w:eastAsia="en-GB"/>
              </w:rPr>
              <w:tab/>
            </w:r>
            <w:r w:rsidR="003626B3" w:rsidRPr="003A47C2">
              <w:rPr>
                <w:rStyle w:val="Hyperlink"/>
                <w:noProof/>
              </w:rPr>
              <w:t>Adaptation and Resilience Criteria</w:t>
            </w:r>
            <w:r w:rsidR="003626B3">
              <w:rPr>
                <w:noProof/>
                <w:webHidden/>
              </w:rPr>
              <w:tab/>
            </w:r>
            <w:r w:rsidR="003626B3">
              <w:rPr>
                <w:noProof/>
                <w:webHidden/>
              </w:rPr>
              <w:fldChar w:fldCharType="begin"/>
            </w:r>
            <w:r w:rsidR="003626B3">
              <w:rPr>
                <w:noProof/>
                <w:webHidden/>
              </w:rPr>
              <w:instrText xml:space="preserve"> PAGEREF _Toc37692163 \h </w:instrText>
            </w:r>
            <w:r w:rsidR="003626B3">
              <w:rPr>
                <w:noProof/>
                <w:webHidden/>
              </w:rPr>
            </w:r>
            <w:r w:rsidR="003626B3">
              <w:rPr>
                <w:noProof/>
                <w:webHidden/>
              </w:rPr>
              <w:fldChar w:fldCharType="separate"/>
            </w:r>
            <w:r w:rsidR="00070722">
              <w:rPr>
                <w:noProof/>
                <w:webHidden/>
              </w:rPr>
              <w:t>9</w:t>
            </w:r>
            <w:r w:rsidR="003626B3">
              <w:rPr>
                <w:noProof/>
                <w:webHidden/>
              </w:rPr>
              <w:fldChar w:fldCharType="end"/>
            </w:r>
          </w:hyperlink>
        </w:p>
        <w:p w14:paraId="797DF39E" w14:textId="67E05102" w:rsidR="003626B3" w:rsidRDefault="00980DC8">
          <w:pPr>
            <w:pStyle w:val="TOC1"/>
            <w:rPr>
              <w:rFonts w:eastAsiaTheme="minorEastAsia" w:cstheme="minorBidi"/>
              <w:b w:val="0"/>
              <w:bCs w:val="0"/>
              <w:caps w:val="0"/>
              <w:noProof/>
              <w:sz w:val="24"/>
              <w:szCs w:val="24"/>
              <w:lang w:eastAsia="en-GB"/>
            </w:rPr>
          </w:pPr>
          <w:hyperlink w:anchor="_Toc37692164" w:history="1">
            <w:r w:rsidR="003626B3" w:rsidRPr="003A47C2">
              <w:rPr>
                <w:rStyle w:val="Hyperlink"/>
                <w:noProof/>
              </w:rPr>
              <w:t>Annex 1. EEOI/AER Decarbonisation Trajectories</w:t>
            </w:r>
            <w:r w:rsidR="003626B3">
              <w:rPr>
                <w:noProof/>
                <w:webHidden/>
              </w:rPr>
              <w:tab/>
            </w:r>
            <w:r w:rsidR="003626B3">
              <w:rPr>
                <w:noProof/>
                <w:webHidden/>
              </w:rPr>
              <w:fldChar w:fldCharType="begin"/>
            </w:r>
            <w:r w:rsidR="003626B3">
              <w:rPr>
                <w:noProof/>
                <w:webHidden/>
              </w:rPr>
              <w:instrText xml:space="preserve"> PAGEREF _Toc37692164 \h </w:instrText>
            </w:r>
            <w:r w:rsidR="003626B3">
              <w:rPr>
                <w:noProof/>
                <w:webHidden/>
              </w:rPr>
            </w:r>
            <w:r w:rsidR="003626B3">
              <w:rPr>
                <w:noProof/>
                <w:webHidden/>
              </w:rPr>
              <w:fldChar w:fldCharType="separate"/>
            </w:r>
            <w:r w:rsidR="00070722">
              <w:rPr>
                <w:noProof/>
                <w:webHidden/>
              </w:rPr>
              <w:t>10</w:t>
            </w:r>
            <w:r w:rsidR="003626B3">
              <w:rPr>
                <w:noProof/>
                <w:webHidden/>
              </w:rPr>
              <w:fldChar w:fldCharType="end"/>
            </w:r>
          </w:hyperlink>
        </w:p>
        <w:p w14:paraId="6FF7F4BF" w14:textId="7D740818" w:rsidR="003626B3" w:rsidRDefault="00980DC8">
          <w:pPr>
            <w:pStyle w:val="TOC1"/>
            <w:rPr>
              <w:rFonts w:eastAsiaTheme="minorEastAsia" w:cstheme="minorBidi"/>
              <w:b w:val="0"/>
              <w:bCs w:val="0"/>
              <w:caps w:val="0"/>
              <w:noProof/>
              <w:sz w:val="24"/>
              <w:szCs w:val="24"/>
              <w:lang w:eastAsia="en-GB"/>
            </w:rPr>
          </w:pPr>
          <w:hyperlink w:anchor="_Toc37692165" w:history="1">
            <w:r w:rsidR="003626B3" w:rsidRPr="003A47C2">
              <w:rPr>
                <w:rStyle w:val="Hyperlink"/>
                <w:noProof/>
              </w:rPr>
              <w:t>Annex 2. TWG and IWG Members</w:t>
            </w:r>
            <w:r w:rsidR="003626B3">
              <w:rPr>
                <w:noProof/>
                <w:webHidden/>
              </w:rPr>
              <w:tab/>
            </w:r>
            <w:r w:rsidR="003626B3">
              <w:rPr>
                <w:noProof/>
                <w:webHidden/>
              </w:rPr>
              <w:fldChar w:fldCharType="begin"/>
            </w:r>
            <w:r w:rsidR="003626B3">
              <w:rPr>
                <w:noProof/>
                <w:webHidden/>
              </w:rPr>
              <w:instrText xml:space="preserve"> PAGEREF _Toc37692165 \h </w:instrText>
            </w:r>
            <w:r w:rsidR="003626B3">
              <w:rPr>
                <w:noProof/>
                <w:webHidden/>
              </w:rPr>
            </w:r>
            <w:r w:rsidR="003626B3">
              <w:rPr>
                <w:noProof/>
                <w:webHidden/>
              </w:rPr>
              <w:fldChar w:fldCharType="separate"/>
            </w:r>
            <w:r w:rsidR="00070722">
              <w:rPr>
                <w:noProof/>
                <w:webHidden/>
              </w:rPr>
              <w:t>11</w:t>
            </w:r>
            <w:r w:rsidR="003626B3">
              <w:rPr>
                <w:noProof/>
                <w:webHidden/>
              </w:rPr>
              <w:fldChar w:fldCharType="end"/>
            </w:r>
          </w:hyperlink>
        </w:p>
        <w:p w14:paraId="689E7284" w14:textId="06863676" w:rsidR="003411E3" w:rsidRDefault="00EE464D" w:rsidP="009205FE">
          <w:pPr>
            <w:rPr>
              <w:noProof/>
            </w:rPr>
          </w:pPr>
          <w:r>
            <w:rPr>
              <w:b/>
              <w:bCs/>
              <w:noProof/>
            </w:rPr>
            <w:fldChar w:fldCharType="end"/>
          </w:r>
        </w:p>
      </w:sdtContent>
    </w:sdt>
    <w:p w14:paraId="1B67EE37" w14:textId="6E8D3AB3" w:rsidR="00A634CE" w:rsidRDefault="00A634CE" w:rsidP="009205FE">
      <w:pPr>
        <w:rPr>
          <w:rStyle w:val="Heading1Char"/>
        </w:rPr>
      </w:pPr>
    </w:p>
    <w:p w14:paraId="5DECAF64" w14:textId="2443E213" w:rsidR="00A634CE" w:rsidRDefault="00C21771" w:rsidP="009205FE">
      <w:pPr>
        <w:rPr>
          <w:rStyle w:val="Heading1Char"/>
        </w:rPr>
      </w:pPr>
      <w:r>
        <w:rPr>
          <w:rStyle w:val="Heading1Char"/>
        </w:rPr>
        <w:br/>
      </w:r>
    </w:p>
    <w:p w14:paraId="546B02EA" w14:textId="3B14C162" w:rsidR="00AE750C" w:rsidRDefault="00AE750C" w:rsidP="009205FE">
      <w:pPr>
        <w:rPr>
          <w:rStyle w:val="Heading1Char"/>
        </w:rPr>
      </w:pPr>
    </w:p>
    <w:p w14:paraId="27E0933A" w14:textId="609EE71A" w:rsidR="009205FE" w:rsidRDefault="009205FE" w:rsidP="009205FE">
      <w:pPr>
        <w:rPr>
          <w:rStyle w:val="Heading1Char"/>
        </w:rPr>
      </w:pPr>
    </w:p>
    <w:p w14:paraId="75B54EBC" w14:textId="6E9FCCD8" w:rsidR="009205FE" w:rsidRDefault="009205FE" w:rsidP="009205FE">
      <w:pPr>
        <w:rPr>
          <w:rStyle w:val="Heading1Char"/>
        </w:rPr>
      </w:pPr>
      <w:r>
        <w:rPr>
          <w:rStyle w:val="Heading1Char"/>
        </w:rPr>
        <w:br w:type="page"/>
      </w:r>
    </w:p>
    <w:p w14:paraId="4D7797D6" w14:textId="77777777" w:rsidR="00A84AB2" w:rsidRPr="00182943" w:rsidRDefault="00EE464D" w:rsidP="00182943">
      <w:pPr>
        <w:pStyle w:val="Heading1"/>
        <w:numPr>
          <w:ilvl w:val="0"/>
          <w:numId w:val="18"/>
        </w:numPr>
        <w:jc w:val="left"/>
        <w:rPr>
          <w:lang w:eastAsia="x-none"/>
        </w:rPr>
      </w:pPr>
      <w:bookmarkStart w:id="0" w:name="_Toc37692157"/>
      <w:r w:rsidRPr="00182943">
        <w:rPr>
          <w:lang w:eastAsia="x-none"/>
        </w:rPr>
        <w:lastRenderedPageBreak/>
        <w:t>Introduction</w:t>
      </w:r>
      <w:r w:rsidRPr="00182943">
        <w:rPr>
          <w:rFonts w:hint="eastAsia"/>
          <w:lang w:eastAsia="x-none"/>
        </w:rPr>
        <w:t> </w:t>
      </w:r>
      <w:bookmarkEnd w:id="0"/>
    </w:p>
    <w:p w14:paraId="0D1D05C3" w14:textId="77777777" w:rsidR="00DF1C7E" w:rsidRDefault="00DF1C7E" w:rsidP="009205FE">
      <w:pPr>
        <w:rPr>
          <w:lang w:eastAsia="en-GB"/>
        </w:rPr>
      </w:pPr>
    </w:p>
    <w:p w14:paraId="7A0C0E67" w14:textId="1F8A0636" w:rsidR="005F5CD3" w:rsidRDefault="005F5CD3" w:rsidP="009205FE">
      <w:pPr>
        <w:rPr>
          <w:lang w:eastAsia="en-GB"/>
        </w:rPr>
      </w:pPr>
      <w:r w:rsidRPr="005F5CD3">
        <w:rPr>
          <w:lang w:eastAsia="en-GB"/>
        </w:rPr>
        <w:t xml:space="preserve">Investor demand for Green Bonds and Climate Bonds is strong and will increase in line with the delivery of quality products into the market. However, investor concerns about the credibility of green labelling are also growing. Standards, assurance &amp; certification are essential to improve confidence and transparency, which in turn will enable further strong growth in the market. </w:t>
      </w:r>
    </w:p>
    <w:p w14:paraId="57636E35" w14:textId="77777777" w:rsidR="005F5CD3" w:rsidRDefault="005F5CD3" w:rsidP="009205FE">
      <w:pPr>
        <w:rPr>
          <w:lang w:eastAsia="en-GB"/>
        </w:rPr>
      </w:pPr>
    </w:p>
    <w:p w14:paraId="2069177C" w14:textId="77777777" w:rsidR="005F5CD3" w:rsidRDefault="005F5CD3" w:rsidP="009205FE">
      <w:pPr>
        <w:rPr>
          <w:lang w:eastAsia="en-GB"/>
        </w:rPr>
      </w:pPr>
      <w:r w:rsidRPr="005F5CD3">
        <w:rPr>
          <w:lang w:eastAsia="en-GB"/>
        </w:rPr>
        <w:t xml:space="preserve">The Climate Bonds Standard and Certification Scheme is an easy-to-use screening tool that provides a clear signal to investors and intermediaries on the climate integrity of Certified Climate Bonds. </w:t>
      </w:r>
    </w:p>
    <w:p w14:paraId="50214A02" w14:textId="77777777" w:rsidR="005F5CD3" w:rsidRDefault="005F5CD3" w:rsidP="009205FE">
      <w:pPr>
        <w:rPr>
          <w:lang w:eastAsia="en-GB"/>
        </w:rPr>
      </w:pPr>
    </w:p>
    <w:p w14:paraId="184C5D97" w14:textId="60ADE01A" w:rsidR="005F5CD3" w:rsidRDefault="005F5CD3" w:rsidP="009205FE">
      <w:pPr>
        <w:rPr>
          <w:lang w:eastAsia="en-GB"/>
        </w:rPr>
      </w:pPr>
      <w:r w:rsidRPr="005F5CD3">
        <w:rPr>
          <w:lang w:eastAsia="en-GB"/>
        </w:rPr>
        <w:t xml:space="preserve">A key part of the Standard is a suite of sector-specific eligibility </w:t>
      </w:r>
      <w:r w:rsidR="0003222A">
        <w:rPr>
          <w:lang w:eastAsia="en-GB"/>
        </w:rPr>
        <w:t>c</w:t>
      </w:r>
      <w:r w:rsidRPr="005F5CD3">
        <w:rPr>
          <w:lang w:eastAsia="en-GB"/>
        </w:rPr>
        <w:t>riteria</w:t>
      </w:r>
      <w:r w:rsidR="0003222A">
        <w:rPr>
          <w:lang w:eastAsia="en-GB"/>
        </w:rPr>
        <w:t xml:space="preserve"> (‘the Criteria’)</w:t>
      </w:r>
      <w:r w:rsidRPr="005F5CD3">
        <w:rPr>
          <w:lang w:eastAsia="en-GB"/>
        </w:rPr>
        <w:t xml:space="preserve">. Each set of Criteria sets climate change benchmarks for that sector that are used to screen assets and capital projects so that only those that have climate integrity, either through their contribution to climate mitigation, and/or to adaptation and resilience to climate change, will be certified. Where a bond encompasses a mixed portfolio of assets across several sectors, each sub-category of assets will be subject to the relevant Criteria for those assets. </w:t>
      </w:r>
    </w:p>
    <w:p w14:paraId="0D7DD21F" w14:textId="77777777" w:rsidR="005F5CD3" w:rsidRDefault="005F5CD3" w:rsidP="009205FE">
      <w:pPr>
        <w:rPr>
          <w:lang w:eastAsia="en-GB"/>
        </w:rPr>
      </w:pPr>
    </w:p>
    <w:p w14:paraId="30175EC7" w14:textId="097B1FD0" w:rsidR="005F5CD3" w:rsidRDefault="005F5CD3" w:rsidP="009205FE">
      <w:pPr>
        <w:rPr>
          <w:lang w:eastAsia="en-GB"/>
        </w:rPr>
      </w:pPr>
      <w:r w:rsidRPr="005F5CD3">
        <w:rPr>
          <w:lang w:eastAsia="en-GB"/>
        </w:rPr>
        <w:t xml:space="preserve">The Criteria are determined through a multi-stakeholder engagement process, including Technical and Industry Working Groups, convened and managed by the Climate Bonds Initiative, and are subject to public consultation. Finally, they are reviewed and approved by the Climate Bonds Standard Board. </w:t>
      </w:r>
    </w:p>
    <w:p w14:paraId="729182C4" w14:textId="77777777" w:rsidR="005F5CD3" w:rsidRDefault="005F5CD3" w:rsidP="009205FE">
      <w:pPr>
        <w:rPr>
          <w:lang w:eastAsia="en-GB"/>
        </w:rPr>
      </w:pPr>
    </w:p>
    <w:p w14:paraId="67C16293" w14:textId="1BEBD9DF" w:rsidR="005F5CD3" w:rsidRPr="00B933D4" w:rsidRDefault="005F5CD3" w:rsidP="00B933D4">
      <w:pPr>
        <w:jc w:val="left"/>
        <w:rPr>
          <w:rFonts w:cs="Times New Roman"/>
        </w:rPr>
      </w:pPr>
      <w:r w:rsidRPr="005F5CD3">
        <w:rPr>
          <w:lang w:eastAsia="en-GB"/>
        </w:rPr>
        <w:t>The second key part of the Climate Bonds Standard is the overarching Climate Bonds Standard document available at</w:t>
      </w:r>
      <w:r w:rsidR="00B933D4" w:rsidRPr="00B933D4">
        <w:t xml:space="preserve"> </w:t>
      </w:r>
      <w:hyperlink r:id="rId9" w:history="1">
        <w:r w:rsidR="00B933D4">
          <w:rPr>
            <w:rStyle w:val="Hyperlink"/>
          </w:rPr>
          <w:t>https://www.climatebonds.net/standard/about</w:t>
        </w:r>
      </w:hyperlink>
      <w:r w:rsidRPr="005F5CD3">
        <w:rPr>
          <w:lang w:eastAsia="en-GB"/>
        </w:rPr>
        <w:t xml:space="preserve">. This gives the common fund management and reporting requirements that all Certified Climate Bonds must meet, in addition to meeting the </w:t>
      </w:r>
      <w:r w:rsidR="0003222A">
        <w:rPr>
          <w:lang w:eastAsia="en-GB"/>
        </w:rPr>
        <w:t>sector-</w:t>
      </w:r>
      <w:r w:rsidRPr="005F5CD3">
        <w:rPr>
          <w:lang w:eastAsia="en-GB"/>
        </w:rPr>
        <w:t>specific Criteria.</w:t>
      </w:r>
    </w:p>
    <w:p w14:paraId="416E3BF1" w14:textId="77777777" w:rsidR="005F5CD3" w:rsidRDefault="005F5CD3" w:rsidP="009205FE"/>
    <w:p w14:paraId="011701E5" w14:textId="7EF554EE" w:rsidR="00CB1BFF" w:rsidRDefault="0087605E" w:rsidP="009205FE">
      <w:r>
        <w:t xml:space="preserve">This </w:t>
      </w:r>
      <w:r w:rsidR="008A5D89">
        <w:t xml:space="preserve">current </w:t>
      </w:r>
      <w:r>
        <w:t>document describes the Criteria that will be used by Climate Bonds Initiative to certify low carbon and sustainable shipping assets</w:t>
      </w:r>
      <w:r w:rsidR="00E14688">
        <w:t xml:space="preserve"> and programmes</w:t>
      </w:r>
      <w:r w:rsidR="00E3512C">
        <w:rPr>
          <w:rStyle w:val="FootnoteReference"/>
        </w:rPr>
        <w:footnoteReference w:id="1"/>
      </w:r>
      <w:r>
        <w:t xml:space="preserve">. </w:t>
      </w:r>
      <w:r w:rsidR="008A5D89">
        <w:t>It</w:t>
      </w:r>
      <w:r w:rsidR="00E57527">
        <w:t xml:space="preserve"> is supported by the </w:t>
      </w:r>
      <w:r w:rsidR="00E06C82">
        <w:t>CBI</w:t>
      </w:r>
      <w:r w:rsidR="00E57527">
        <w:t xml:space="preserve"> Shipping Criteria Background Document, which provides a detailed summary of th</w:t>
      </w:r>
      <w:r w:rsidR="0003222A">
        <w:t>e</w:t>
      </w:r>
      <w:r w:rsidR="00E57527">
        <w:t xml:space="preserve"> discussions</w:t>
      </w:r>
      <w:r w:rsidR="0003222A">
        <w:t xml:space="preserve"> supporting the development of these Criteria</w:t>
      </w:r>
      <w:r w:rsidR="00E57527">
        <w:t xml:space="preserve">. </w:t>
      </w:r>
      <w:r w:rsidR="00410029">
        <w:t xml:space="preserve">A brochure providing a brief summary of the criteria is also available </w:t>
      </w:r>
      <w:r w:rsidR="006D2706">
        <w:t>online</w:t>
      </w:r>
      <w:r w:rsidR="00410029">
        <w:t xml:space="preserve">. </w:t>
      </w:r>
    </w:p>
    <w:p w14:paraId="3365C325" w14:textId="531CA48C" w:rsidR="007A02BE" w:rsidRDefault="007A02BE" w:rsidP="009205FE">
      <w:pPr>
        <w:rPr>
          <w:rFonts w:ascii="MS Gothic" w:eastAsia="MS Gothic" w:hAnsi="MS Gothic" w:cs="MS Gothic"/>
        </w:rPr>
      </w:pPr>
      <w:r>
        <w:br/>
        <w:t xml:space="preserve">It is expected that </w:t>
      </w:r>
      <w:r w:rsidR="000D5B7E">
        <w:t xml:space="preserve">the </w:t>
      </w:r>
      <w:r w:rsidR="0003222A">
        <w:t>C</w:t>
      </w:r>
      <w:r w:rsidR="000D5B7E">
        <w:t xml:space="preserve">riteria will evolve </w:t>
      </w:r>
      <w:r>
        <w:t>as new technologies, practices and evidence arise during the application of the</w:t>
      </w:r>
      <w:r w:rsidR="0003222A">
        <w:t>m</w:t>
      </w:r>
      <w:r>
        <w:t>, an</w:t>
      </w:r>
      <w:r w:rsidR="000D5B7E">
        <w:t>d</w:t>
      </w:r>
      <w:r>
        <w:t xml:space="preserve"> as new or improved methodologies and data collection processes become available</w:t>
      </w:r>
      <w:r w:rsidR="000D5B7E">
        <w:t>. This will</w:t>
      </w:r>
      <w:r>
        <w:t xml:space="preserve"> increase the climate mitigation integrity of subsequent bond issuances. </w:t>
      </w:r>
      <w:r w:rsidR="000D5B7E">
        <w:t xml:space="preserve">However, if changes are made to the </w:t>
      </w:r>
      <w:r w:rsidR="0003222A">
        <w:t>C</w:t>
      </w:r>
      <w:r w:rsidR="000D5B7E">
        <w:t>riteria following receipt of Certification, c</w:t>
      </w:r>
      <w:r w:rsidR="00CB1BFF">
        <w:t xml:space="preserve">ertifications </w:t>
      </w:r>
      <w:r w:rsidR="0003222A">
        <w:t xml:space="preserve">already </w:t>
      </w:r>
      <w:r w:rsidR="00CB1BFF">
        <w:t xml:space="preserve">awarded will not be revoked retroactively. </w:t>
      </w:r>
    </w:p>
    <w:p w14:paraId="61FC3CE1" w14:textId="77777777" w:rsidR="007A02BE" w:rsidRDefault="007A02BE" w:rsidP="009205FE"/>
    <w:p w14:paraId="27E490D0" w14:textId="41431FCF" w:rsidR="009205FE" w:rsidRDefault="00244E28" w:rsidP="009205FE">
      <w:r>
        <w:br/>
      </w:r>
      <w:r w:rsidR="009205FE">
        <w:br w:type="page"/>
      </w:r>
    </w:p>
    <w:p w14:paraId="55363676" w14:textId="4C09F8C3" w:rsidR="00EE464D" w:rsidRDefault="00EE464D" w:rsidP="009205FE">
      <w:pPr>
        <w:pStyle w:val="ListParagraph"/>
        <w:numPr>
          <w:ilvl w:val="0"/>
          <w:numId w:val="18"/>
        </w:numPr>
        <w:rPr>
          <w:rStyle w:val="Heading1Char"/>
        </w:rPr>
      </w:pPr>
      <w:bookmarkStart w:id="1" w:name="_Toc37692158"/>
      <w:r w:rsidRPr="00CB5F80">
        <w:rPr>
          <w:rStyle w:val="Heading1Char"/>
        </w:rPr>
        <w:lastRenderedPageBreak/>
        <w:t xml:space="preserve">The </w:t>
      </w:r>
      <w:r w:rsidR="00E06C82">
        <w:rPr>
          <w:rStyle w:val="Heading1Char"/>
        </w:rPr>
        <w:t>Need for Shipping</w:t>
      </w:r>
      <w:r w:rsidRPr="00CB5F80">
        <w:rPr>
          <w:rStyle w:val="Heading1Char"/>
        </w:rPr>
        <w:t xml:space="preserve"> </w:t>
      </w:r>
      <w:r w:rsidR="00E06C82">
        <w:rPr>
          <w:rStyle w:val="Heading1Char"/>
        </w:rPr>
        <w:t>Criteria</w:t>
      </w:r>
      <w:bookmarkEnd w:id="1"/>
      <w:r w:rsidR="00E06C82">
        <w:rPr>
          <w:rStyle w:val="Heading1Char"/>
        </w:rPr>
        <w:t xml:space="preserve"> </w:t>
      </w:r>
    </w:p>
    <w:p w14:paraId="2651388A" w14:textId="77777777" w:rsidR="00DF1C7E" w:rsidRDefault="00DF1C7E" w:rsidP="009205FE"/>
    <w:p w14:paraId="6146D79C" w14:textId="0D898983" w:rsidR="00EE464D" w:rsidRPr="009205FE" w:rsidRDefault="005B1BBC" w:rsidP="009205FE">
      <w:r>
        <w:t>M</w:t>
      </w:r>
      <w:r w:rsidR="00EE464D">
        <w:t xml:space="preserve">aritime transport accounts for approximately 80% of global trade by volume and 70% by value. In 2017, total volumes transported reached 10.7 billion tons. The UN Conference on Trade and </w:t>
      </w:r>
      <w:r w:rsidR="00EE464D" w:rsidRPr="009205FE">
        <w:t>Development (UNCTAD) is forecasting a 3.8</w:t>
      </w:r>
      <w:r w:rsidR="003626B3">
        <w:t xml:space="preserve">% </w:t>
      </w:r>
      <w:r w:rsidR="00EE464D" w:rsidRPr="009205FE">
        <w:t>Compound Average Growth Rate (CAGR) for seaborne trade between 2018 and 2023. </w:t>
      </w:r>
    </w:p>
    <w:p w14:paraId="7B4FE077" w14:textId="77777777" w:rsidR="001765FA" w:rsidRPr="009205FE" w:rsidRDefault="001765FA" w:rsidP="009205FE"/>
    <w:p w14:paraId="0E58848D" w14:textId="2940E436" w:rsidR="001765FA" w:rsidRPr="00410029" w:rsidRDefault="001765FA" w:rsidP="009205FE">
      <w:r w:rsidRPr="009205FE">
        <w:t>While CO2 represented almost all of the industry’s GHG emissions (98%), methane (CH4) emissions from ships has increased recently due to the methane slip associated with increased use and transport</w:t>
      </w:r>
      <w:r>
        <w:t xml:space="preserve"> of liquefied gas in LNG carriers and other LNG-propelled ships. There is potential for this trend to continue in the future if there is an increased uptake of LNG-powered ships. </w:t>
      </w:r>
      <w:r w:rsidR="00985A67">
        <w:t>However, t</w:t>
      </w:r>
      <w:r>
        <w:t>here is potential for the sector to make significant GHG reductions. These can be achieved through a combination of</w:t>
      </w:r>
      <w:r w:rsidR="00985A67">
        <w:t xml:space="preserve"> i</w:t>
      </w:r>
      <w:r w:rsidRPr="00985A67">
        <w:t>ncreasing the energy efficiency of shipping</w:t>
      </w:r>
      <w:r w:rsidR="00985A67">
        <w:t xml:space="preserve"> and </w:t>
      </w:r>
      <w:r w:rsidR="00985A67" w:rsidRPr="00410029">
        <w:t>r</w:t>
      </w:r>
      <w:r w:rsidRPr="00410029">
        <w:t>educing the GHG intensity of the energy used by ships</w:t>
      </w:r>
      <w:r w:rsidR="00985A67" w:rsidRPr="00410029">
        <w:t>.</w:t>
      </w:r>
    </w:p>
    <w:p w14:paraId="5DC0884F" w14:textId="05AF3308" w:rsidR="00782576" w:rsidRDefault="00782576" w:rsidP="009205FE"/>
    <w:p w14:paraId="036DA3FD" w14:textId="3606FD41" w:rsidR="008A5D89" w:rsidRDefault="00782576" w:rsidP="009205FE">
      <w:r>
        <w:t xml:space="preserve">Decarbonising the shipping sector is crucial. According to the International Maritime Organisation (IMO), the shipping industry’s governing body, the sector currently accounts for c2.2% of global emissions; left unchecked shipping emissions are expected to grow by 50-250% by 2050. CO2 is the largest source of greenhouse gas emissions in shipping. The multi-year average estimate for all shipping for 2007–2012 was 1,015 million tonnes CO2 and 1,036 million tonnes CO2e for GHGs combining CO2, CH4 (methane) and N2O (nitrous oxide). </w:t>
      </w:r>
      <w:r w:rsidR="001765FA">
        <w:br/>
      </w:r>
      <w:r w:rsidR="001765FA">
        <w:br/>
      </w:r>
      <w:r w:rsidR="008A5D89">
        <w:t>As</w:t>
      </w:r>
      <w:r w:rsidR="001765FA">
        <w:t xml:space="preserve"> the shipping sector seeks to decarbonise, it will need clear guidance on how to ensure that this economic sector remains aligned with the targets set out in the Paris Agreement. These </w:t>
      </w:r>
      <w:r w:rsidR="00985A67">
        <w:t>C</w:t>
      </w:r>
      <w:r w:rsidR="001765FA">
        <w:t xml:space="preserve">riteria are designed to suit that need by providing </w:t>
      </w:r>
      <w:r w:rsidR="005F0232">
        <w:t xml:space="preserve">ship </w:t>
      </w:r>
      <w:r w:rsidR="001765FA">
        <w:t xml:space="preserve">owners and operator with a science-based and easy-to-use set of technical criteria which, if met, can be used to certify a financial product that meets them. It is expected that such a labelling process will provide much-needed information and confidence for investors looking to make climate-aligned investments. </w:t>
      </w:r>
    </w:p>
    <w:p w14:paraId="452E76B6" w14:textId="77777777" w:rsidR="00E00DF5" w:rsidRDefault="00E00DF5" w:rsidP="009205FE"/>
    <w:p w14:paraId="09316A42" w14:textId="0D8B3104" w:rsidR="00985A67" w:rsidRPr="009205FE" w:rsidRDefault="00FB173C" w:rsidP="009205FE">
      <w:pPr>
        <w:pStyle w:val="ListParagraph"/>
        <w:numPr>
          <w:ilvl w:val="0"/>
          <w:numId w:val="18"/>
        </w:numPr>
        <w:rPr>
          <w:rFonts w:asciiTheme="majorHAnsi" w:eastAsiaTheme="majorEastAsia" w:hAnsiTheme="majorHAnsi" w:cstheme="majorBidi"/>
          <w:color w:val="2F5496" w:themeColor="accent1" w:themeShade="BF"/>
          <w:sz w:val="32"/>
          <w:szCs w:val="32"/>
        </w:rPr>
      </w:pPr>
      <w:bookmarkStart w:id="2" w:name="_Toc37692159"/>
      <w:r>
        <w:rPr>
          <w:rStyle w:val="Heading1Char"/>
        </w:rPr>
        <w:t>Assets and Projects that can be assessed under these Criteria</w:t>
      </w:r>
      <w:bookmarkEnd w:id="2"/>
      <w:r>
        <w:rPr>
          <w:rStyle w:val="Heading1Char"/>
        </w:rPr>
        <w:t xml:space="preserve"> </w:t>
      </w:r>
    </w:p>
    <w:p w14:paraId="40E6AEE7" w14:textId="77777777" w:rsidR="00DF1C7E" w:rsidRDefault="00DF1C7E" w:rsidP="009205FE">
      <w:pPr>
        <w:rPr>
          <w:lang w:eastAsia="zh-CN"/>
        </w:rPr>
      </w:pPr>
    </w:p>
    <w:p w14:paraId="64598BAB" w14:textId="14F2C7C6" w:rsidR="00322677" w:rsidRPr="00322677" w:rsidRDefault="00985A67" w:rsidP="009205FE">
      <w:pPr>
        <w:rPr>
          <w:lang w:eastAsia="zh-CN"/>
        </w:rPr>
      </w:pPr>
      <w:r w:rsidRPr="00D5779D">
        <w:rPr>
          <w:lang w:eastAsia="zh-CN"/>
        </w:rPr>
        <w:t xml:space="preserve">The Shipping Criteria </w:t>
      </w:r>
      <w:r>
        <w:rPr>
          <w:lang w:eastAsia="zh-CN"/>
        </w:rPr>
        <w:t>can be used to assess</w:t>
      </w:r>
      <w:r w:rsidR="00080F49">
        <w:rPr>
          <w:lang w:eastAsia="zh-CN"/>
        </w:rPr>
        <w:t xml:space="preserve"> the assets and projects described in Table 1 </w:t>
      </w:r>
      <w:r w:rsidR="00080F49" w:rsidRPr="00322677">
        <w:rPr>
          <w:lang w:eastAsia="zh-CN"/>
        </w:rPr>
        <w:t xml:space="preserve">below. </w:t>
      </w:r>
      <w:r w:rsidR="00322677" w:rsidRPr="00322677">
        <w:rPr>
          <w:lang w:eastAsia="zh-CN"/>
        </w:rPr>
        <w:t xml:space="preserve">This table uses the following classifications for ease of use as follows:  </w:t>
      </w:r>
    </w:p>
    <w:p w14:paraId="491947C4" w14:textId="77777777" w:rsidR="00322677" w:rsidRPr="00222A5E" w:rsidRDefault="00322677" w:rsidP="009205FE">
      <w:pPr>
        <w:pStyle w:val="ListParagraph"/>
        <w:numPr>
          <w:ilvl w:val="0"/>
          <w:numId w:val="32"/>
        </w:numPr>
        <w:rPr>
          <w:sz w:val="24"/>
          <w:szCs w:val="24"/>
        </w:rPr>
      </w:pPr>
      <w:r w:rsidRPr="00222A5E">
        <w:rPr>
          <w:sz w:val="24"/>
          <w:szCs w:val="24"/>
        </w:rPr>
        <w:t xml:space="preserve">Green: almost certain to be compatible with a low carbon or climate-resilient economy in all circumstances and therefore are automatically eligible for certification </w:t>
      </w:r>
    </w:p>
    <w:p w14:paraId="21D1CB9F" w14:textId="77777777" w:rsidR="00322677" w:rsidRPr="00222A5E" w:rsidRDefault="00322677" w:rsidP="009205FE">
      <w:pPr>
        <w:pStyle w:val="ListParagraph"/>
        <w:numPr>
          <w:ilvl w:val="0"/>
          <w:numId w:val="32"/>
        </w:numPr>
        <w:rPr>
          <w:sz w:val="24"/>
          <w:szCs w:val="24"/>
        </w:rPr>
      </w:pPr>
      <w:r w:rsidRPr="00222A5E">
        <w:rPr>
          <w:sz w:val="24"/>
          <w:szCs w:val="24"/>
        </w:rPr>
        <w:t xml:space="preserve">Amber: potentially eligible, subject to meeting the eligibility criteria in this document. </w:t>
      </w:r>
    </w:p>
    <w:p w14:paraId="3E0451FD" w14:textId="4A4385D9" w:rsidR="00985A67" w:rsidRPr="00222A5E" w:rsidRDefault="00322677" w:rsidP="009205FE">
      <w:pPr>
        <w:pStyle w:val="ListParagraph"/>
        <w:numPr>
          <w:ilvl w:val="0"/>
          <w:numId w:val="32"/>
        </w:numPr>
        <w:rPr>
          <w:sz w:val="24"/>
          <w:szCs w:val="24"/>
        </w:rPr>
      </w:pPr>
      <w:r w:rsidRPr="00222A5E">
        <w:rPr>
          <w:sz w:val="24"/>
          <w:szCs w:val="24"/>
        </w:rPr>
        <w:t xml:space="preserve">Red: ineligible for certification in any circumstance either because they are incompatible with a low carbon or climate-resilient economy or because determining their eligibility is outside the mandate of the </w:t>
      </w:r>
      <w:r w:rsidR="006E1296">
        <w:rPr>
          <w:sz w:val="24"/>
          <w:szCs w:val="24"/>
        </w:rPr>
        <w:t>Shipping</w:t>
      </w:r>
      <w:r w:rsidRPr="00222A5E">
        <w:rPr>
          <w:sz w:val="24"/>
          <w:szCs w:val="24"/>
        </w:rPr>
        <w:t xml:space="preserve"> Criteria. </w:t>
      </w:r>
    </w:p>
    <w:p w14:paraId="68EC2F31" w14:textId="12B3FD0B" w:rsidR="00080F49" w:rsidRDefault="00080F49" w:rsidP="009205FE">
      <w:pPr>
        <w:rPr>
          <w:lang w:eastAsia="zh-CN"/>
        </w:rPr>
      </w:pPr>
    </w:p>
    <w:p w14:paraId="03423F7B" w14:textId="4BF0DF3D" w:rsidR="00DF1C7E" w:rsidRDefault="00985A67" w:rsidP="009205FE">
      <w:r w:rsidRPr="00D5779D">
        <w:rPr>
          <w:lang w:eastAsia="zh-CN"/>
        </w:rPr>
        <w:t xml:space="preserve">Ships that are dedicated to the transport of fossil fuel </w:t>
      </w:r>
      <w:r w:rsidR="00FB173C">
        <w:rPr>
          <w:lang w:eastAsia="zh-CN"/>
        </w:rPr>
        <w:t xml:space="preserve">and/ or otherwise support the fossil fuel sector </w:t>
      </w:r>
      <w:r w:rsidRPr="00D5779D">
        <w:rPr>
          <w:lang w:eastAsia="zh-CN"/>
        </w:rPr>
        <w:t>are excluded</w:t>
      </w:r>
      <w:r w:rsidR="00627177">
        <w:rPr>
          <w:lang w:eastAsia="zh-CN"/>
        </w:rPr>
        <w:t>.</w:t>
      </w:r>
      <w:r w:rsidR="00080F49">
        <w:t xml:space="preserve"> It is recognised that some ship types that carry dry bulk commodities may also be leased to transport both fossil-fuel and non-fossil fuel cargo, but the ship type itself is - unlike an oil tanker - not dedicated to fossil fuel carriage and so is not excluded. </w:t>
      </w:r>
    </w:p>
    <w:p w14:paraId="10EBCAE7" w14:textId="5FEDF619" w:rsidR="00080F49" w:rsidRDefault="00080F49" w:rsidP="009205FE">
      <w:r>
        <w:lastRenderedPageBreak/>
        <w:t>For this reason, product and chemical tankers are</w:t>
      </w:r>
      <w:r w:rsidR="00627177">
        <w:t xml:space="preserve"> also</w:t>
      </w:r>
      <w:r>
        <w:t xml:space="preserve"> not excluded (as these ship types may also carry non-fossil fuel cargos).</w:t>
      </w:r>
      <w:r>
        <w:rPr>
          <w:rStyle w:val="FootnoteReference"/>
        </w:rPr>
        <w:footnoteReference w:id="2"/>
      </w:r>
      <w:r>
        <w:t xml:space="preserve"> </w:t>
      </w:r>
    </w:p>
    <w:p w14:paraId="40D3BA10" w14:textId="77777777" w:rsidR="00080F49" w:rsidRDefault="00080F49" w:rsidP="009205FE"/>
    <w:p w14:paraId="33464EBE" w14:textId="25F2136F" w:rsidR="00985A67" w:rsidRPr="00D5779D" w:rsidRDefault="00080F49" w:rsidP="009205FE">
      <w:r>
        <w:t xml:space="preserve">Assets used for the manufacture of ships are not within scope of the criteria. Other types of port infrastructure (e.g. those not directly related to the direct supply of zero emissions energy/fuel to a ship, such as warehousing or cranes), are also out of scope. </w:t>
      </w:r>
      <w:r w:rsidR="009205FE">
        <w:t xml:space="preserve"> </w:t>
      </w:r>
      <w:r w:rsidR="00FB173C">
        <w:t>See Table 2 below for these exclusions.</w:t>
      </w:r>
    </w:p>
    <w:p w14:paraId="77500DC6" w14:textId="77777777" w:rsidR="00985A67" w:rsidRDefault="00985A67" w:rsidP="009205FE"/>
    <w:p w14:paraId="552D52D9" w14:textId="750549B7" w:rsidR="00985A67" w:rsidRPr="00182943" w:rsidRDefault="00985A67" w:rsidP="009205FE">
      <w:pPr>
        <w:rPr>
          <w:b/>
          <w:bCs/>
        </w:rPr>
      </w:pPr>
      <w:r w:rsidRPr="00182943">
        <w:rPr>
          <w:b/>
          <w:bCs/>
        </w:rPr>
        <w:t xml:space="preserve">Table 1. </w:t>
      </w:r>
      <w:r w:rsidR="00322677" w:rsidRPr="00182943">
        <w:rPr>
          <w:b/>
          <w:bCs/>
        </w:rPr>
        <w:t>A</w:t>
      </w:r>
      <w:r w:rsidRPr="00182943">
        <w:rPr>
          <w:b/>
          <w:bCs/>
        </w:rPr>
        <w:t>ssets</w:t>
      </w:r>
      <w:r w:rsidR="00322677" w:rsidRPr="00182943">
        <w:rPr>
          <w:b/>
          <w:bCs/>
        </w:rPr>
        <w:t xml:space="preserve"> and projects</w:t>
      </w:r>
      <w:r w:rsidRPr="00182943">
        <w:rPr>
          <w:b/>
          <w:bCs/>
        </w:rPr>
        <w:t xml:space="preserve"> </w:t>
      </w:r>
      <w:r w:rsidR="00322677" w:rsidRPr="00182943">
        <w:rPr>
          <w:b/>
          <w:bCs/>
        </w:rPr>
        <w:t xml:space="preserve">included in the </w:t>
      </w:r>
      <w:r w:rsidRPr="00182943">
        <w:rPr>
          <w:b/>
          <w:bCs/>
        </w:rPr>
        <w:t xml:space="preserve">scope of the </w:t>
      </w:r>
      <w:r w:rsidR="00322677" w:rsidRPr="00182943">
        <w:rPr>
          <w:b/>
          <w:bCs/>
        </w:rPr>
        <w:t xml:space="preserve">Shipping </w:t>
      </w:r>
      <w:r w:rsidRPr="00182943">
        <w:rPr>
          <w:b/>
          <w:bCs/>
        </w:rPr>
        <w:t xml:space="preserve">Criteria </w:t>
      </w:r>
    </w:p>
    <w:tbl>
      <w:tblPr>
        <w:tblStyle w:val="TableGrid"/>
        <w:tblW w:w="9214" w:type="dxa"/>
        <w:tblInd w:w="-5" w:type="dxa"/>
        <w:tblLook w:val="04A0" w:firstRow="1" w:lastRow="0" w:firstColumn="1" w:lastColumn="0" w:noHBand="0" w:noVBand="1"/>
      </w:tblPr>
      <w:tblGrid>
        <w:gridCol w:w="2552"/>
        <w:gridCol w:w="4961"/>
        <w:gridCol w:w="838"/>
        <w:gridCol w:w="863"/>
      </w:tblGrid>
      <w:tr w:rsidR="00E00DF5" w:rsidRPr="00765A07" w14:paraId="33A2BDAE" w14:textId="3CF61313" w:rsidTr="00E00DF5">
        <w:tc>
          <w:tcPr>
            <w:tcW w:w="2552" w:type="dxa"/>
            <w:shd w:val="clear" w:color="auto" w:fill="2F5496" w:themeFill="accent1" w:themeFillShade="BF"/>
            <w:vAlign w:val="center"/>
          </w:tcPr>
          <w:p w14:paraId="46D03AA7" w14:textId="77777777" w:rsidR="00E00DF5" w:rsidRPr="00DF1C7E" w:rsidRDefault="00E00DF5" w:rsidP="009205FE">
            <w:pPr>
              <w:pStyle w:val="Normal2"/>
              <w:rPr>
                <w:rFonts w:asciiTheme="minorHAnsi" w:hAnsiTheme="minorHAnsi" w:cstheme="minorHAnsi"/>
                <w:color w:val="FFFFFF" w:themeColor="background1"/>
                <w:sz w:val="24"/>
                <w:szCs w:val="21"/>
              </w:rPr>
            </w:pPr>
            <w:r w:rsidRPr="00DF1C7E">
              <w:rPr>
                <w:rFonts w:asciiTheme="minorHAnsi" w:hAnsiTheme="minorHAnsi" w:cstheme="minorHAnsi"/>
                <w:color w:val="FFFFFF" w:themeColor="background1"/>
                <w:sz w:val="24"/>
                <w:szCs w:val="21"/>
                <w:lang w:val="en-GB"/>
              </w:rPr>
              <w:t>Assets</w:t>
            </w:r>
          </w:p>
        </w:tc>
        <w:tc>
          <w:tcPr>
            <w:tcW w:w="4961" w:type="dxa"/>
            <w:shd w:val="clear" w:color="auto" w:fill="2F5496" w:themeFill="accent1" w:themeFillShade="BF"/>
            <w:vAlign w:val="center"/>
          </w:tcPr>
          <w:p w14:paraId="3D67011E" w14:textId="77777777" w:rsidR="00E00DF5" w:rsidRPr="00DF1C7E" w:rsidRDefault="00E00DF5" w:rsidP="009205FE">
            <w:pPr>
              <w:pStyle w:val="Normal2"/>
              <w:rPr>
                <w:rFonts w:asciiTheme="minorHAnsi" w:hAnsiTheme="minorHAnsi" w:cstheme="minorHAnsi"/>
                <w:color w:val="FFFFFF" w:themeColor="background1"/>
                <w:sz w:val="24"/>
                <w:szCs w:val="21"/>
              </w:rPr>
            </w:pPr>
            <w:r w:rsidRPr="00DF1C7E">
              <w:rPr>
                <w:rFonts w:asciiTheme="minorHAnsi" w:hAnsiTheme="minorHAnsi" w:cstheme="minorHAnsi"/>
                <w:color w:val="FFFFFF" w:themeColor="background1"/>
                <w:sz w:val="24"/>
                <w:szCs w:val="21"/>
              </w:rPr>
              <w:t>Example Use of Proceeds</w:t>
            </w:r>
          </w:p>
        </w:tc>
        <w:tc>
          <w:tcPr>
            <w:tcW w:w="838" w:type="dxa"/>
            <w:shd w:val="clear" w:color="auto" w:fill="2F5496" w:themeFill="accent1" w:themeFillShade="BF"/>
          </w:tcPr>
          <w:p w14:paraId="460176B4" w14:textId="198E05DF" w:rsidR="00E00DF5" w:rsidRPr="009205FE" w:rsidRDefault="00E00DF5" w:rsidP="009205FE">
            <w:pPr>
              <w:pStyle w:val="Normal2"/>
              <w:rPr>
                <w:rFonts w:asciiTheme="minorHAnsi" w:hAnsiTheme="minorHAnsi" w:cstheme="minorHAnsi"/>
                <w:sz w:val="24"/>
                <w:szCs w:val="21"/>
              </w:rPr>
            </w:pPr>
            <w:proofErr w:type="spellStart"/>
            <w:r>
              <w:rPr>
                <w:rFonts w:asciiTheme="minorHAnsi" w:hAnsiTheme="minorHAnsi" w:cstheme="minorHAnsi"/>
                <w:sz w:val="24"/>
                <w:szCs w:val="21"/>
              </w:rPr>
              <w:t>Mit</w:t>
            </w:r>
            <w:proofErr w:type="spellEnd"/>
            <w:r>
              <w:rPr>
                <w:rFonts w:asciiTheme="minorHAnsi" w:hAnsiTheme="minorHAnsi" w:cstheme="minorHAnsi"/>
                <w:sz w:val="24"/>
                <w:szCs w:val="21"/>
              </w:rPr>
              <w:t>.</w:t>
            </w:r>
          </w:p>
        </w:tc>
        <w:tc>
          <w:tcPr>
            <w:tcW w:w="863" w:type="dxa"/>
            <w:shd w:val="clear" w:color="auto" w:fill="2F5496" w:themeFill="accent1" w:themeFillShade="BF"/>
          </w:tcPr>
          <w:p w14:paraId="474683CA" w14:textId="695EA54E" w:rsidR="00E00DF5" w:rsidRPr="009205FE" w:rsidRDefault="00E00DF5" w:rsidP="009205FE">
            <w:pPr>
              <w:pStyle w:val="Normal2"/>
              <w:rPr>
                <w:rFonts w:asciiTheme="minorHAnsi" w:hAnsiTheme="minorHAnsi" w:cstheme="minorHAnsi"/>
                <w:sz w:val="24"/>
                <w:szCs w:val="21"/>
              </w:rPr>
            </w:pPr>
            <w:r>
              <w:rPr>
                <w:rFonts w:asciiTheme="minorHAnsi" w:hAnsiTheme="minorHAnsi" w:cstheme="minorHAnsi"/>
                <w:sz w:val="24"/>
                <w:szCs w:val="21"/>
              </w:rPr>
              <w:t>Adapt.</w:t>
            </w:r>
          </w:p>
        </w:tc>
      </w:tr>
      <w:tr w:rsidR="00E00DF5" w14:paraId="7AB6A5C8" w14:textId="773AA596" w:rsidTr="00E00DF5">
        <w:tc>
          <w:tcPr>
            <w:tcW w:w="2552" w:type="dxa"/>
          </w:tcPr>
          <w:p w14:paraId="055397A1" w14:textId="7EEB7C14" w:rsidR="00E00DF5" w:rsidRPr="009205FE" w:rsidRDefault="00E00DF5" w:rsidP="00E00DF5">
            <w:pPr>
              <w:jc w:val="left"/>
              <w:rPr>
                <w:rFonts w:asciiTheme="minorHAnsi" w:hAnsiTheme="minorHAnsi"/>
                <w:sz w:val="22"/>
                <w:szCs w:val="22"/>
              </w:rPr>
            </w:pPr>
            <w:r w:rsidRPr="009205FE">
              <w:rPr>
                <w:rFonts w:asciiTheme="minorHAnsi" w:hAnsiTheme="minorHAnsi"/>
                <w:sz w:val="22"/>
                <w:szCs w:val="22"/>
              </w:rPr>
              <w:t>Ships above 5,000 GT for which data is collected under the EU MRV</w:t>
            </w:r>
            <w:r>
              <w:rPr>
                <w:rStyle w:val="FootnoteReference"/>
                <w:szCs w:val="22"/>
              </w:rPr>
              <w:footnoteReference w:id="3"/>
            </w:r>
            <w:r w:rsidRPr="009205FE">
              <w:rPr>
                <w:rFonts w:asciiTheme="minorHAnsi" w:hAnsiTheme="minorHAnsi"/>
                <w:sz w:val="22"/>
                <w:szCs w:val="22"/>
              </w:rPr>
              <w:t xml:space="preserve"> and/or IMO DCS data collection regimes</w:t>
            </w:r>
            <w:r>
              <w:rPr>
                <w:rFonts w:asciiTheme="minorHAnsi" w:hAnsiTheme="minorHAnsi"/>
                <w:sz w:val="22"/>
                <w:szCs w:val="22"/>
              </w:rPr>
              <w:t>.</w:t>
            </w:r>
            <w:r>
              <w:rPr>
                <w:rStyle w:val="FootnoteReference"/>
                <w:szCs w:val="22"/>
              </w:rPr>
              <w:footnoteReference w:id="4"/>
            </w:r>
            <w:r w:rsidRPr="009205FE">
              <w:rPr>
                <w:rFonts w:asciiTheme="minorHAnsi" w:hAnsiTheme="minorHAnsi"/>
                <w:sz w:val="22"/>
                <w:szCs w:val="22"/>
              </w:rPr>
              <w:t xml:space="preserve"> </w:t>
            </w:r>
          </w:p>
        </w:tc>
        <w:tc>
          <w:tcPr>
            <w:tcW w:w="4961" w:type="dxa"/>
          </w:tcPr>
          <w:p w14:paraId="72EC9FAD" w14:textId="043354D7" w:rsidR="00E00DF5" w:rsidRPr="009205FE" w:rsidRDefault="00E00DF5" w:rsidP="009205FE">
            <w:pPr>
              <w:rPr>
                <w:rFonts w:asciiTheme="minorHAnsi" w:hAnsiTheme="minorHAnsi"/>
                <w:sz w:val="22"/>
                <w:szCs w:val="22"/>
              </w:rPr>
            </w:pPr>
            <w:r w:rsidRPr="009205FE">
              <w:rPr>
                <w:rFonts w:asciiTheme="minorHAnsi" w:hAnsiTheme="minorHAnsi"/>
                <w:sz w:val="22"/>
                <w:szCs w:val="22"/>
              </w:rPr>
              <w:t>Ships classified as Bulk Carriers, Chemical Tankers, Containers, General Cargo, Ferry-pax only, Cruise, Ferry-</w:t>
            </w:r>
            <w:proofErr w:type="spellStart"/>
            <w:r w:rsidRPr="009205FE">
              <w:rPr>
                <w:rFonts w:asciiTheme="minorHAnsi" w:hAnsiTheme="minorHAnsi"/>
                <w:sz w:val="22"/>
                <w:szCs w:val="22"/>
              </w:rPr>
              <w:t>RoPax</w:t>
            </w:r>
            <w:proofErr w:type="spellEnd"/>
            <w:r w:rsidRPr="009205FE">
              <w:rPr>
                <w:rFonts w:asciiTheme="minorHAnsi" w:hAnsiTheme="minorHAnsi"/>
                <w:sz w:val="22"/>
                <w:szCs w:val="22"/>
              </w:rPr>
              <w:t xml:space="preserve">, Refrigerated Bulk, Ro-Ro and Vehicle, and are not in the list of excluded assets in Table 2 below. </w:t>
            </w:r>
          </w:p>
        </w:tc>
        <w:tc>
          <w:tcPr>
            <w:tcW w:w="838" w:type="dxa"/>
          </w:tcPr>
          <w:p w14:paraId="75E6C454" w14:textId="7CBEBBC4" w:rsidR="00E00DF5" w:rsidRPr="009205FE" w:rsidRDefault="00A41B8C" w:rsidP="009205FE">
            <w:pPr>
              <w:rPr>
                <w:sz w:val="22"/>
                <w:szCs w:val="22"/>
              </w:rPr>
            </w:pPr>
            <w:r>
              <w:rPr>
                <w:rFonts w:ascii="Gill Sans" w:hAnsi="Gill Sans" w:cs="Gill Sans"/>
                <w:noProof/>
                <w:lang w:eastAsia="x-none"/>
              </w:rPr>
              <mc:AlternateContent>
                <mc:Choice Requires="wps">
                  <w:drawing>
                    <wp:anchor distT="0" distB="0" distL="114300" distR="114300" simplePos="0" relativeHeight="251667456" behindDoc="0" locked="0" layoutInCell="1" allowOverlap="1" wp14:anchorId="1948C6E1" wp14:editId="49A795A4">
                      <wp:simplePos x="0" y="0"/>
                      <wp:positionH relativeFrom="margin">
                        <wp:posOffset>106680</wp:posOffset>
                      </wp:positionH>
                      <wp:positionV relativeFrom="margin">
                        <wp:posOffset>381000</wp:posOffset>
                      </wp:positionV>
                      <wp:extent cx="165100" cy="151130"/>
                      <wp:effectExtent l="0" t="0" r="0" b="1270"/>
                      <wp:wrapSquare wrapText="bothSides"/>
                      <wp:docPr id="31" name="Rectangle: Rounded Corners 31"/>
                      <wp:cNvGraphicFramePr/>
                      <a:graphic xmlns:a="http://schemas.openxmlformats.org/drawingml/2006/main">
                        <a:graphicData uri="http://schemas.microsoft.com/office/word/2010/wordprocessingShape">
                          <wps:wsp>
                            <wps:cNvSpPr/>
                            <wps:spPr>
                              <a:xfrm>
                                <a:off x="0" y="0"/>
                                <a:ext cx="165100" cy="151130"/>
                              </a:xfrm>
                              <a:prstGeom prst="roundRect">
                                <a:avLst/>
                              </a:prstGeom>
                              <a:gradFill>
                                <a:gsLst>
                                  <a:gs pos="100000">
                                    <a:srgbClr val="FFC48D"/>
                                  </a:gs>
                                  <a:gs pos="100000">
                                    <a:schemeClr val="accent6">
                                      <a:lumMod val="105000"/>
                                      <a:satMod val="103000"/>
                                      <a:tint val="73000"/>
                                    </a:schemeClr>
                                  </a:gs>
                                  <a:gs pos="100000">
                                    <a:schemeClr val="accent6">
                                      <a:lumMod val="105000"/>
                                      <a:satMod val="109000"/>
                                      <a:tint val="81000"/>
                                    </a:schemeClr>
                                  </a:gs>
                                </a:gsLst>
                              </a:gra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0D67E" id="Rectangle: Rounded Corners 31" o:spid="_x0000_s1026" style="position:absolute;margin-left:8.4pt;margin-top:30pt;width:13pt;height:1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" fillcolor="#ffc48d" stroked="f" strokeweight=".5pt">
                      <v:fill color2="#8ac066 [2617]" rotate="t" colors="0 #ffc48d;1 #ffc48d;1 #aace99" focus="100%" type="gradient">
                        <o:fill v:ext="view" type="gradientUnscaled"/>
                      </v:fill>
                      <v:stroke joinstyle="miter"/>
                      <w10:wrap type="square" anchorx="margin" anchory="margin"/>
                    </v:roundrect>
                  </w:pict>
                </mc:Fallback>
              </mc:AlternateContent>
            </w:r>
          </w:p>
        </w:tc>
        <w:tc>
          <w:tcPr>
            <w:tcW w:w="863" w:type="dxa"/>
          </w:tcPr>
          <w:p w14:paraId="1FEF5717" w14:textId="3C3652E7" w:rsidR="00E00DF5" w:rsidRPr="009205FE" w:rsidRDefault="00A41B8C" w:rsidP="009205FE">
            <w:pPr>
              <w:rPr>
                <w:sz w:val="22"/>
                <w:szCs w:val="22"/>
              </w:rPr>
            </w:pPr>
            <w:r>
              <w:rPr>
                <w:rFonts w:ascii="Gill Sans" w:hAnsi="Gill Sans" w:cs="Gill Sans"/>
                <w:noProof/>
                <w:lang w:eastAsia="x-none"/>
              </w:rPr>
              <mc:AlternateContent>
                <mc:Choice Requires="wps">
                  <w:drawing>
                    <wp:anchor distT="0" distB="0" distL="114300" distR="114300" simplePos="0" relativeHeight="251675648" behindDoc="0" locked="0" layoutInCell="1" allowOverlap="1" wp14:anchorId="3439D5FE" wp14:editId="5F3D8046">
                      <wp:simplePos x="0" y="0"/>
                      <wp:positionH relativeFrom="margin">
                        <wp:posOffset>116205</wp:posOffset>
                      </wp:positionH>
                      <wp:positionV relativeFrom="margin">
                        <wp:posOffset>384810</wp:posOffset>
                      </wp:positionV>
                      <wp:extent cx="139700" cy="146050"/>
                      <wp:effectExtent l="0" t="0" r="12700" b="19050"/>
                      <wp:wrapSquare wrapText="bothSides"/>
                      <wp:docPr id="7" name="Flowchart: Connector 46"/>
                      <wp:cNvGraphicFramePr/>
                      <a:graphic xmlns:a="http://schemas.openxmlformats.org/drawingml/2006/main">
                        <a:graphicData uri="http://schemas.microsoft.com/office/word/2010/wordprocessingShape">
                          <wps:wsp>
                            <wps:cNvSpPr/>
                            <wps:spPr>
                              <a:xfrm>
                                <a:off x="0" y="0"/>
                                <a:ext cx="139700" cy="146050"/>
                              </a:xfrm>
                              <a:prstGeom prst="flowChartConnector">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520A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 o:spid="_x0000_s1026" type="#_x0000_t120" style="position:absolute;margin-left:9.15pt;margin-top:30.3pt;width:11pt;height:1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" fillcolor="#00b050" strokecolor="#00b050" strokeweight=".5pt">
                      <v:stroke joinstyle="miter"/>
                      <w10:wrap type="square" anchorx="margin" anchory="margin"/>
                    </v:shape>
                  </w:pict>
                </mc:Fallback>
              </mc:AlternateContent>
            </w:r>
          </w:p>
        </w:tc>
      </w:tr>
      <w:tr w:rsidR="00E00DF5" w14:paraId="44B89BBA" w14:textId="3BECE0E7" w:rsidTr="00E00DF5">
        <w:tc>
          <w:tcPr>
            <w:tcW w:w="2552" w:type="dxa"/>
          </w:tcPr>
          <w:p w14:paraId="4C02E643" w14:textId="397C6210" w:rsidR="00E00DF5" w:rsidRPr="009205FE" w:rsidRDefault="00E00DF5" w:rsidP="009205FE">
            <w:pPr>
              <w:rPr>
                <w:rFonts w:asciiTheme="minorHAnsi" w:hAnsiTheme="minorHAnsi"/>
                <w:sz w:val="22"/>
                <w:szCs w:val="22"/>
              </w:rPr>
            </w:pPr>
            <w:r w:rsidRPr="009205FE">
              <w:rPr>
                <w:rFonts w:asciiTheme="minorHAnsi" w:hAnsiTheme="minorHAnsi"/>
                <w:sz w:val="22"/>
                <w:szCs w:val="22"/>
              </w:rPr>
              <w:t>Ships below 5,000 GT</w:t>
            </w:r>
            <w:r w:rsidR="008D0A5C">
              <w:rPr>
                <w:rFonts w:asciiTheme="minorHAnsi" w:hAnsiTheme="minorHAnsi"/>
                <w:sz w:val="22"/>
                <w:szCs w:val="22"/>
              </w:rPr>
              <w:br/>
            </w:r>
            <w:proofErr w:type="gramStart"/>
            <w:r w:rsidR="008D0A5C" w:rsidRPr="008D0A5C">
              <w:rPr>
                <w:rFonts w:asciiTheme="minorHAnsi" w:hAnsiTheme="minorHAnsi"/>
                <w:b/>
                <w:bCs/>
                <w:sz w:val="22"/>
                <w:szCs w:val="22"/>
                <w:u w:val="single"/>
              </w:rPr>
              <w:t xml:space="preserve">if </w:t>
            </w:r>
            <w:r w:rsidR="00052151" w:rsidRPr="008D0A5C">
              <w:rPr>
                <w:rFonts w:asciiTheme="minorHAnsi" w:hAnsiTheme="minorHAnsi"/>
                <w:b/>
                <w:bCs/>
                <w:sz w:val="22"/>
                <w:szCs w:val="22"/>
                <w:u w:val="single"/>
              </w:rPr>
              <w:t xml:space="preserve"> zero</w:t>
            </w:r>
            <w:proofErr w:type="gramEnd"/>
            <w:r w:rsidR="00052151" w:rsidRPr="008D0A5C">
              <w:rPr>
                <w:rFonts w:asciiTheme="minorHAnsi" w:hAnsiTheme="minorHAnsi"/>
                <w:b/>
                <w:bCs/>
                <w:sz w:val="22"/>
                <w:szCs w:val="22"/>
                <w:u w:val="single"/>
              </w:rPr>
              <w:t xml:space="preserve"> emissions</w:t>
            </w:r>
            <w:r w:rsidR="001C5C0A" w:rsidRPr="008D0A5C">
              <w:rPr>
                <w:rFonts w:asciiTheme="minorHAnsi" w:hAnsiTheme="minorHAnsi"/>
                <w:b/>
                <w:bCs/>
                <w:sz w:val="22"/>
                <w:szCs w:val="22"/>
                <w:u w:val="single"/>
              </w:rPr>
              <w:t>.</w:t>
            </w:r>
          </w:p>
        </w:tc>
        <w:tc>
          <w:tcPr>
            <w:tcW w:w="4961" w:type="dxa"/>
          </w:tcPr>
          <w:p w14:paraId="264874E1" w14:textId="21C193B2" w:rsidR="00E00DF5" w:rsidRPr="009205FE" w:rsidRDefault="00E00DF5" w:rsidP="009205FE">
            <w:pPr>
              <w:rPr>
                <w:rFonts w:asciiTheme="minorHAnsi" w:hAnsiTheme="minorHAnsi"/>
                <w:sz w:val="22"/>
                <w:szCs w:val="22"/>
              </w:rPr>
            </w:pPr>
            <w:r w:rsidRPr="009205FE">
              <w:rPr>
                <w:rFonts w:asciiTheme="minorHAnsi" w:hAnsiTheme="minorHAnsi"/>
                <w:sz w:val="22"/>
                <w:szCs w:val="22"/>
              </w:rPr>
              <w:t>Zero emissions ships which are propelled and powered by batteries, or zero-emissions fuels and are not in the list of excluded assets in Table 2 below.</w:t>
            </w:r>
            <w:r w:rsidR="00052151" w:rsidRPr="009205FE">
              <w:rPr>
                <w:rStyle w:val="FootnoteReference"/>
                <w:rFonts w:asciiTheme="minorHAnsi" w:hAnsiTheme="minorHAnsi" w:cstheme="minorHAnsi"/>
                <w:sz w:val="22"/>
                <w:szCs w:val="22"/>
              </w:rPr>
              <w:footnoteReference w:id="5"/>
            </w:r>
            <w:r w:rsidRPr="009205FE">
              <w:rPr>
                <w:rFonts w:asciiTheme="minorHAnsi" w:hAnsiTheme="minorHAnsi"/>
                <w:sz w:val="22"/>
                <w:szCs w:val="22"/>
              </w:rPr>
              <w:t xml:space="preserve"> </w:t>
            </w:r>
          </w:p>
        </w:tc>
        <w:tc>
          <w:tcPr>
            <w:tcW w:w="838" w:type="dxa"/>
          </w:tcPr>
          <w:p w14:paraId="6B7C5385" w14:textId="75B0F408" w:rsidR="00E00DF5" w:rsidRPr="009205FE" w:rsidRDefault="00E00DF5" w:rsidP="009205FE">
            <w:pPr>
              <w:rPr>
                <w:sz w:val="22"/>
                <w:szCs w:val="22"/>
              </w:rPr>
            </w:pPr>
            <w:r>
              <w:rPr>
                <w:rFonts w:ascii="Gill Sans" w:hAnsi="Gill Sans" w:cs="Gill Sans"/>
                <w:noProof/>
                <w:lang w:eastAsia="x-none"/>
              </w:rPr>
              <mc:AlternateContent>
                <mc:Choice Requires="wps">
                  <w:drawing>
                    <wp:anchor distT="0" distB="0" distL="114300" distR="114300" simplePos="0" relativeHeight="251665408" behindDoc="0" locked="0" layoutInCell="1" allowOverlap="1" wp14:anchorId="71D46F14" wp14:editId="60EBEDD3">
                      <wp:simplePos x="0" y="0"/>
                      <wp:positionH relativeFrom="margin">
                        <wp:posOffset>108255</wp:posOffset>
                      </wp:positionH>
                      <wp:positionV relativeFrom="margin">
                        <wp:posOffset>189230</wp:posOffset>
                      </wp:positionV>
                      <wp:extent cx="139700" cy="146050"/>
                      <wp:effectExtent l="0" t="0" r="12700" b="19050"/>
                      <wp:wrapSquare wrapText="bothSides"/>
                      <wp:docPr id="46" name="Flowchart: Connector 46"/>
                      <wp:cNvGraphicFramePr/>
                      <a:graphic xmlns:a="http://schemas.openxmlformats.org/drawingml/2006/main">
                        <a:graphicData uri="http://schemas.microsoft.com/office/word/2010/wordprocessingShape">
                          <wps:wsp>
                            <wps:cNvSpPr/>
                            <wps:spPr>
                              <a:xfrm>
                                <a:off x="0" y="0"/>
                                <a:ext cx="139700" cy="146050"/>
                              </a:xfrm>
                              <a:prstGeom prst="flowChartConnector">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CB8C0" id="Flowchart: Connector 46" o:spid="_x0000_s1026" type="#_x0000_t120" style="position:absolute;margin-left:8.5pt;margin-top:14.9pt;width:11pt;height:11.5pt;z-index:2516654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" fillcolor="#00b050" strokecolor="#00b050" strokeweight=".5pt">
                      <v:stroke joinstyle="miter"/>
                      <w10:wrap type="square" anchorx="margin" anchory="margin"/>
                    </v:shape>
                  </w:pict>
                </mc:Fallback>
              </mc:AlternateContent>
            </w:r>
          </w:p>
        </w:tc>
        <w:tc>
          <w:tcPr>
            <w:tcW w:w="863" w:type="dxa"/>
          </w:tcPr>
          <w:p w14:paraId="097CC5B4" w14:textId="1654ADCC" w:rsidR="00E00DF5" w:rsidRPr="009205FE" w:rsidRDefault="00E00DF5" w:rsidP="009205FE">
            <w:pPr>
              <w:rPr>
                <w:sz w:val="22"/>
                <w:szCs w:val="22"/>
              </w:rPr>
            </w:pPr>
            <w:r>
              <w:rPr>
                <w:rFonts w:ascii="Gill Sans" w:hAnsi="Gill Sans" w:cs="Gill Sans"/>
                <w:noProof/>
                <w:lang w:eastAsia="x-none"/>
              </w:rPr>
              <mc:AlternateContent>
                <mc:Choice Requires="wps">
                  <w:drawing>
                    <wp:anchor distT="0" distB="0" distL="114300" distR="114300" simplePos="0" relativeHeight="251673600" behindDoc="0" locked="0" layoutInCell="1" allowOverlap="1" wp14:anchorId="28266E21" wp14:editId="1D6B3FA8">
                      <wp:simplePos x="0" y="0"/>
                      <wp:positionH relativeFrom="margin">
                        <wp:posOffset>115570</wp:posOffset>
                      </wp:positionH>
                      <wp:positionV relativeFrom="margin">
                        <wp:posOffset>189230</wp:posOffset>
                      </wp:positionV>
                      <wp:extent cx="139700" cy="146050"/>
                      <wp:effectExtent l="0" t="0" r="12700" b="19050"/>
                      <wp:wrapSquare wrapText="bothSides"/>
                      <wp:docPr id="5" name="Flowchart: Connector 46"/>
                      <wp:cNvGraphicFramePr/>
                      <a:graphic xmlns:a="http://schemas.openxmlformats.org/drawingml/2006/main">
                        <a:graphicData uri="http://schemas.microsoft.com/office/word/2010/wordprocessingShape">
                          <wps:wsp>
                            <wps:cNvSpPr/>
                            <wps:spPr>
                              <a:xfrm>
                                <a:off x="0" y="0"/>
                                <a:ext cx="139700" cy="146050"/>
                              </a:xfrm>
                              <a:prstGeom prst="flowChartConnector">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A400" id="Flowchart: Connector 46" o:spid="_x0000_s1026" type="#_x0000_t120" style="position:absolute;margin-left:9.1pt;margin-top:14.9pt;width:11pt;height:1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" fillcolor="#00b050" strokecolor="#00b050" strokeweight=".5pt">
                      <v:stroke joinstyle="miter"/>
                      <w10:wrap type="square" anchorx="margin" anchory="margin"/>
                    </v:shape>
                  </w:pict>
                </mc:Fallback>
              </mc:AlternateContent>
            </w:r>
          </w:p>
        </w:tc>
      </w:tr>
      <w:tr w:rsidR="00E00DF5" w14:paraId="22C8518A" w14:textId="12B93E52" w:rsidTr="00E00DF5">
        <w:tc>
          <w:tcPr>
            <w:tcW w:w="2552" w:type="dxa"/>
          </w:tcPr>
          <w:p w14:paraId="793B0D0D" w14:textId="77777777" w:rsidR="00E00DF5" w:rsidRPr="009205FE" w:rsidRDefault="00E00DF5" w:rsidP="00E00DF5">
            <w:pPr>
              <w:jc w:val="left"/>
              <w:rPr>
                <w:rFonts w:asciiTheme="minorHAnsi" w:hAnsiTheme="minorHAnsi"/>
                <w:sz w:val="22"/>
                <w:szCs w:val="22"/>
              </w:rPr>
            </w:pPr>
            <w:r w:rsidRPr="009205FE">
              <w:rPr>
                <w:rFonts w:asciiTheme="minorHAnsi" w:hAnsiTheme="minorHAnsi"/>
                <w:sz w:val="22"/>
                <w:szCs w:val="22"/>
              </w:rPr>
              <w:t xml:space="preserve">Infrastructure that is dedicated to refueling or recharging zero emissions ships  </w:t>
            </w:r>
          </w:p>
        </w:tc>
        <w:tc>
          <w:tcPr>
            <w:tcW w:w="4961" w:type="dxa"/>
          </w:tcPr>
          <w:p w14:paraId="6970ADCC" w14:textId="743907C0" w:rsidR="00E00DF5" w:rsidRPr="009205FE" w:rsidRDefault="00E00DF5" w:rsidP="009205FE">
            <w:pPr>
              <w:rPr>
                <w:rFonts w:asciiTheme="minorHAnsi" w:hAnsiTheme="minorHAnsi"/>
                <w:sz w:val="22"/>
                <w:szCs w:val="22"/>
              </w:rPr>
            </w:pPr>
            <w:r w:rsidRPr="009205FE">
              <w:rPr>
                <w:rFonts w:asciiTheme="minorHAnsi" w:hAnsiTheme="minorHAnsi"/>
                <w:sz w:val="22"/>
                <w:szCs w:val="22"/>
              </w:rPr>
              <w:t xml:space="preserve">Charging stations and </w:t>
            </w:r>
            <w:proofErr w:type="spellStart"/>
            <w:r w:rsidRPr="009205FE">
              <w:rPr>
                <w:rFonts w:asciiTheme="minorHAnsi" w:hAnsiTheme="minorHAnsi"/>
                <w:sz w:val="22"/>
                <w:szCs w:val="22"/>
              </w:rPr>
              <w:t>refuelling</w:t>
            </w:r>
            <w:proofErr w:type="spellEnd"/>
            <w:r w:rsidRPr="009205FE">
              <w:rPr>
                <w:rFonts w:asciiTheme="minorHAnsi" w:hAnsiTheme="minorHAnsi"/>
                <w:sz w:val="22"/>
                <w:szCs w:val="22"/>
              </w:rPr>
              <w:t xml:space="preserve"> assets that are dedicated for storing and delivering chemical or electric energy to power and propel ships, consistent with the definition of zero-emissions fuels.</w:t>
            </w:r>
          </w:p>
        </w:tc>
        <w:tc>
          <w:tcPr>
            <w:tcW w:w="838" w:type="dxa"/>
          </w:tcPr>
          <w:p w14:paraId="73CE06F4" w14:textId="601E2396" w:rsidR="00E00DF5" w:rsidRPr="009205FE" w:rsidRDefault="00E00DF5" w:rsidP="009205FE">
            <w:pPr>
              <w:rPr>
                <w:sz w:val="22"/>
                <w:szCs w:val="22"/>
              </w:rPr>
            </w:pPr>
            <w:r>
              <w:rPr>
                <w:rFonts w:ascii="Gill Sans" w:hAnsi="Gill Sans" w:cs="Gill Sans"/>
                <w:noProof/>
                <w:lang w:eastAsia="x-none"/>
              </w:rPr>
              <mc:AlternateContent>
                <mc:Choice Requires="wps">
                  <w:drawing>
                    <wp:anchor distT="0" distB="0" distL="114300" distR="114300" simplePos="0" relativeHeight="251669504" behindDoc="0" locked="0" layoutInCell="1" allowOverlap="1" wp14:anchorId="59B32596" wp14:editId="416A75F0">
                      <wp:simplePos x="0" y="0"/>
                      <wp:positionH relativeFrom="margin">
                        <wp:posOffset>108255</wp:posOffset>
                      </wp:positionH>
                      <wp:positionV relativeFrom="margin">
                        <wp:posOffset>268605</wp:posOffset>
                      </wp:positionV>
                      <wp:extent cx="139700" cy="146050"/>
                      <wp:effectExtent l="0" t="0" r="12700" b="19050"/>
                      <wp:wrapSquare wrapText="bothSides"/>
                      <wp:docPr id="3" name="Flowchart: Connector 46"/>
                      <wp:cNvGraphicFramePr/>
                      <a:graphic xmlns:a="http://schemas.openxmlformats.org/drawingml/2006/main">
                        <a:graphicData uri="http://schemas.microsoft.com/office/word/2010/wordprocessingShape">
                          <wps:wsp>
                            <wps:cNvSpPr/>
                            <wps:spPr>
                              <a:xfrm>
                                <a:off x="0" y="0"/>
                                <a:ext cx="139700" cy="146050"/>
                              </a:xfrm>
                              <a:prstGeom prst="flowChartConnector">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3222A" id="Flowchart: Connector 46" o:spid="_x0000_s1026" type="#_x0000_t120" style="position:absolute;margin-left:8.5pt;margin-top:21.15pt;width:11pt;height:11.5pt;z-index:25166950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" fillcolor="#00b050" strokecolor="#00b050" strokeweight=".5pt">
                      <v:stroke joinstyle="miter"/>
                      <w10:wrap type="square" anchorx="margin" anchory="margin"/>
                    </v:shape>
                  </w:pict>
                </mc:Fallback>
              </mc:AlternateContent>
            </w:r>
          </w:p>
        </w:tc>
        <w:tc>
          <w:tcPr>
            <w:tcW w:w="863" w:type="dxa"/>
          </w:tcPr>
          <w:p w14:paraId="67987E8B" w14:textId="0BE1FFAD" w:rsidR="00E00DF5" w:rsidRPr="009205FE" w:rsidRDefault="00E00DF5" w:rsidP="009205FE">
            <w:pPr>
              <w:rPr>
                <w:sz w:val="22"/>
                <w:szCs w:val="22"/>
              </w:rPr>
            </w:pPr>
            <w:r>
              <w:rPr>
                <w:rFonts w:ascii="Gill Sans" w:hAnsi="Gill Sans" w:cs="Gill Sans"/>
                <w:noProof/>
                <w:lang w:eastAsia="x-none"/>
              </w:rPr>
              <mc:AlternateContent>
                <mc:Choice Requires="wps">
                  <w:drawing>
                    <wp:anchor distT="0" distB="0" distL="114300" distR="114300" simplePos="0" relativeHeight="251677696" behindDoc="0" locked="0" layoutInCell="1" allowOverlap="1" wp14:anchorId="2D9051A0" wp14:editId="1FBF04F3">
                      <wp:simplePos x="0" y="0"/>
                      <wp:positionH relativeFrom="margin">
                        <wp:posOffset>115570</wp:posOffset>
                      </wp:positionH>
                      <wp:positionV relativeFrom="margin">
                        <wp:posOffset>267970</wp:posOffset>
                      </wp:positionV>
                      <wp:extent cx="139700" cy="146050"/>
                      <wp:effectExtent l="0" t="0" r="12700" b="19050"/>
                      <wp:wrapSquare wrapText="bothSides"/>
                      <wp:docPr id="8" name="Flowchart: Connector 46"/>
                      <wp:cNvGraphicFramePr/>
                      <a:graphic xmlns:a="http://schemas.openxmlformats.org/drawingml/2006/main">
                        <a:graphicData uri="http://schemas.microsoft.com/office/word/2010/wordprocessingShape">
                          <wps:wsp>
                            <wps:cNvSpPr/>
                            <wps:spPr>
                              <a:xfrm>
                                <a:off x="0" y="0"/>
                                <a:ext cx="139700" cy="146050"/>
                              </a:xfrm>
                              <a:prstGeom prst="flowChartConnector">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FDEC" id="Flowchart: Connector 46" o:spid="_x0000_s1026" type="#_x0000_t120" style="position:absolute;margin-left:9.1pt;margin-top:21.1pt;width:11pt;height: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" fillcolor="#00b050" strokecolor="#00b050" strokeweight=".5pt">
                      <v:stroke joinstyle="miter"/>
                      <w10:wrap type="square" anchorx="margin" anchory="margin"/>
                    </v:shape>
                  </w:pict>
                </mc:Fallback>
              </mc:AlternateContent>
            </w:r>
          </w:p>
        </w:tc>
      </w:tr>
    </w:tbl>
    <w:p w14:paraId="1081DC67" w14:textId="00D49330" w:rsidR="009205FE" w:rsidRDefault="00F44887" w:rsidP="009205FE">
      <w:r>
        <w:rPr>
          <w:rFonts w:ascii="Gill Sans" w:hAnsi="Gill Sans" w:cs="Gill Sans"/>
          <w:noProof/>
          <w:lang w:eastAsia="x-none"/>
        </w:rPr>
        <mc:AlternateContent>
          <mc:Choice Requires="wps">
            <w:drawing>
              <wp:anchor distT="0" distB="0" distL="114300" distR="114300" simplePos="0" relativeHeight="251683840" behindDoc="0" locked="0" layoutInCell="1" allowOverlap="1" wp14:anchorId="0DF67B27" wp14:editId="2817F40C">
                <wp:simplePos x="0" y="0"/>
                <wp:positionH relativeFrom="margin">
                  <wp:posOffset>6985</wp:posOffset>
                </wp:positionH>
                <wp:positionV relativeFrom="margin">
                  <wp:posOffset>3968616</wp:posOffset>
                </wp:positionV>
                <wp:extent cx="102235" cy="102235"/>
                <wp:effectExtent l="0" t="0" r="12065" b="12065"/>
                <wp:wrapSquare wrapText="bothSides"/>
                <wp:docPr id="11" name="Flowchart: Connector 46"/>
                <wp:cNvGraphicFramePr/>
                <a:graphic xmlns:a="http://schemas.openxmlformats.org/drawingml/2006/main">
                  <a:graphicData uri="http://schemas.microsoft.com/office/word/2010/wordprocessingShape">
                    <wps:wsp>
                      <wps:cNvSpPr/>
                      <wps:spPr>
                        <a:xfrm>
                          <a:off x="0" y="0"/>
                          <a:ext cx="102235" cy="102235"/>
                        </a:xfrm>
                        <a:prstGeom prst="flowChartConnector">
                          <a:avLst/>
                        </a:prstGeom>
                        <a:solidFill>
                          <a:srgbClr val="00B050"/>
                        </a:solid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F929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 o:spid="_x0000_s1026" type="#_x0000_t120" style="position:absolute;margin-left:.55pt;margin-top:312.5pt;width:8.05pt;height:8.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" fillcolor="#00b050" strokecolor="#00b050" strokeweight=".5pt">
                <v:stroke joinstyle="miter"/>
                <w10:wrap type="square" anchorx="margin" anchory="margin"/>
              </v:shape>
            </w:pict>
          </mc:Fallback>
        </mc:AlternateContent>
      </w:r>
      <w:r w:rsidR="00DF1C7E">
        <w:t xml:space="preserve">   </w:t>
      </w:r>
      <w:r w:rsidR="00553EF0" w:rsidRPr="00DF1C7E">
        <w:rPr>
          <w:sz w:val="22"/>
          <w:szCs w:val="22"/>
        </w:rPr>
        <w:t>Automatically fulfil requirements for Certification</w:t>
      </w:r>
    </w:p>
    <w:p w14:paraId="76DC78F7" w14:textId="53C69F34" w:rsidR="00553EF0" w:rsidRDefault="00F44887" w:rsidP="009205FE">
      <w:r>
        <w:rPr>
          <w:rFonts w:ascii="Gill Sans" w:hAnsi="Gill Sans" w:cs="Gill Sans"/>
          <w:noProof/>
          <w:lang w:eastAsia="x-none"/>
        </w:rPr>
        <mc:AlternateContent>
          <mc:Choice Requires="wps">
            <w:drawing>
              <wp:anchor distT="0" distB="0" distL="114300" distR="114300" simplePos="0" relativeHeight="251692032" behindDoc="0" locked="0" layoutInCell="1" allowOverlap="1" wp14:anchorId="6C23F202" wp14:editId="6712D2C8">
                <wp:simplePos x="0" y="0"/>
                <wp:positionH relativeFrom="margin">
                  <wp:posOffset>0</wp:posOffset>
                </wp:positionH>
                <wp:positionV relativeFrom="margin">
                  <wp:posOffset>4151730</wp:posOffset>
                </wp:positionV>
                <wp:extent cx="109220" cy="109220"/>
                <wp:effectExtent l="0" t="0" r="5080" b="5080"/>
                <wp:wrapSquare wrapText="bothSides"/>
                <wp:docPr id="1" name="Rectangle: Rounded Corners 31"/>
                <wp:cNvGraphicFramePr/>
                <a:graphic xmlns:a="http://schemas.openxmlformats.org/drawingml/2006/main">
                  <a:graphicData uri="http://schemas.microsoft.com/office/word/2010/wordprocessingShape">
                    <wps:wsp>
                      <wps:cNvSpPr/>
                      <wps:spPr>
                        <a:xfrm>
                          <a:off x="0" y="0"/>
                          <a:ext cx="109220" cy="109220"/>
                        </a:xfrm>
                        <a:prstGeom prst="roundRect">
                          <a:avLst/>
                        </a:prstGeom>
                        <a:gradFill>
                          <a:gsLst>
                            <a:gs pos="100000">
                              <a:srgbClr val="FFC48D"/>
                            </a:gs>
                            <a:gs pos="100000">
                              <a:schemeClr val="accent6">
                                <a:lumMod val="105000"/>
                                <a:satMod val="103000"/>
                                <a:tint val="73000"/>
                              </a:schemeClr>
                            </a:gs>
                            <a:gs pos="100000">
                              <a:schemeClr val="accent6">
                                <a:lumMod val="105000"/>
                                <a:satMod val="109000"/>
                                <a:tint val="81000"/>
                              </a:schemeClr>
                            </a:gs>
                          </a:gsLst>
                        </a:gra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00906" id="Rectangle: Rounded Corners 31" o:spid="_x0000_s1026" style="position:absolute;margin-left:0;margin-top:326.9pt;width:8.6pt;height:8.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" fillcolor="#ffc48d" stroked="f" strokeweight=".5pt">
                <v:fill color2="#8ac066 [2617]" rotate="t" colors="0 #ffc48d;1 #ffc48d;1 #aace99" focus="100%" type="gradient">
                  <o:fill v:ext="view" type="gradientUnscaled"/>
                </v:fill>
                <v:stroke joinstyle="miter"/>
                <w10:wrap type="square" anchorx="margin" anchory="margin"/>
              </v:roundrect>
            </w:pict>
          </mc:Fallback>
        </mc:AlternateContent>
      </w:r>
      <w:r w:rsidRPr="00F44887">
        <w:rPr>
          <w:rFonts w:ascii="Gill Sans" w:hAnsi="Gill Sans" w:cs="Gill Sans"/>
          <w:noProof/>
          <w:lang w:eastAsia="x-none"/>
        </w:rPr>
        <w:t xml:space="preserve"> </w:t>
      </w:r>
      <w:r w:rsidR="00DF1C7E">
        <w:t xml:space="preserve">  </w:t>
      </w:r>
      <w:r w:rsidR="00553EF0" w:rsidRPr="00DF1C7E">
        <w:rPr>
          <w:sz w:val="22"/>
          <w:szCs w:val="22"/>
        </w:rPr>
        <w:t>Must meet CBI Shipping Criteria for Certification</w:t>
      </w:r>
    </w:p>
    <w:p w14:paraId="2BF8C671" w14:textId="36DAAC3E" w:rsidR="00985A67" w:rsidRPr="00182943" w:rsidRDefault="00553EF0" w:rsidP="009205FE">
      <w:pPr>
        <w:rPr>
          <w:b/>
          <w:bCs/>
        </w:rPr>
      </w:pPr>
      <w:r w:rsidRPr="00182943">
        <w:rPr>
          <w:b/>
          <w:bCs/>
        </w:rPr>
        <w:br/>
      </w:r>
      <w:r w:rsidR="00985A67" w:rsidRPr="00182943">
        <w:rPr>
          <w:b/>
          <w:bCs/>
        </w:rPr>
        <w:t xml:space="preserve">Table 2. Types of assets </w:t>
      </w:r>
      <w:r w:rsidR="00FB173C" w:rsidRPr="00182943">
        <w:rPr>
          <w:b/>
          <w:bCs/>
        </w:rPr>
        <w:t xml:space="preserve">and projects </w:t>
      </w:r>
      <w:r w:rsidR="00985A67" w:rsidRPr="00182943">
        <w:rPr>
          <w:b/>
          <w:bCs/>
        </w:rPr>
        <w:t xml:space="preserve">which are excluded from the Criteria </w:t>
      </w:r>
    </w:p>
    <w:tbl>
      <w:tblPr>
        <w:tblStyle w:val="TableGrid"/>
        <w:tblW w:w="9214" w:type="dxa"/>
        <w:tblInd w:w="-5" w:type="dxa"/>
        <w:tblLook w:val="04A0" w:firstRow="1" w:lastRow="0" w:firstColumn="1" w:lastColumn="0" w:noHBand="0" w:noVBand="1"/>
      </w:tblPr>
      <w:tblGrid>
        <w:gridCol w:w="2552"/>
        <w:gridCol w:w="6662"/>
      </w:tblGrid>
      <w:tr w:rsidR="00985A67" w:rsidRPr="00765A07" w14:paraId="4688FE8C" w14:textId="77777777" w:rsidTr="008E57B3">
        <w:tc>
          <w:tcPr>
            <w:tcW w:w="2552" w:type="dxa"/>
            <w:shd w:val="clear" w:color="auto" w:fill="2F5496" w:themeFill="accent1" w:themeFillShade="BF"/>
            <w:vAlign w:val="center"/>
          </w:tcPr>
          <w:p w14:paraId="01E1B672" w14:textId="77777777" w:rsidR="00985A67" w:rsidRPr="00DF1C7E" w:rsidRDefault="00985A67" w:rsidP="009205FE">
            <w:pPr>
              <w:pStyle w:val="Normal2"/>
              <w:rPr>
                <w:color w:val="FFFFFF" w:themeColor="background1"/>
              </w:rPr>
            </w:pPr>
            <w:r w:rsidRPr="00DF1C7E">
              <w:rPr>
                <w:color w:val="FFFFFF" w:themeColor="background1"/>
                <w:lang w:val="en-GB"/>
              </w:rPr>
              <w:t>Assets</w:t>
            </w:r>
          </w:p>
        </w:tc>
        <w:tc>
          <w:tcPr>
            <w:tcW w:w="6662" w:type="dxa"/>
            <w:shd w:val="clear" w:color="auto" w:fill="2F5496" w:themeFill="accent1" w:themeFillShade="BF"/>
            <w:vAlign w:val="center"/>
          </w:tcPr>
          <w:p w14:paraId="4B20DB47" w14:textId="77777777" w:rsidR="00985A67" w:rsidRPr="00DF1C7E" w:rsidRDefault="00985A67" w:rsidP="009205FE">
            <w:pPr>
              <w:pStyle w:val="Normal2"/>
              <w:rPr>
                <w:color w:val="FFFFFF" w:themeColor="background1"/>
              </w:rPr>
            </w:pPr>
            <w:r w:rsidRPr="00DF1C7E">
              <w:rPr>
                <w:color w:val="FFFFFF" w:themeColor="background1"/>
              </w:rPr>
              <w:t>Explanation</w:t>
            </w:r>
          </w:p>
        </w:tc>
      </w:tr>
      <w:tr w:rsidR="00985A67" w14:paraId="1CA52115" w14:textId="77777777" w:rsidTr="008E57B3">
        <w:tc>
          <w:tcPr>
            <w:tcW w:w="2552" w:type="dxa"/>
          </w:tcPr>
          <w:p w14:paraId="109A23D8" w14:textId="77777777" w:rsidR="00985A67" w:rsidRPr="00E00DF5" w:rsidRDefault="00985A67"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 xml:space="preserve">Crude Oil Tankers and Liquefied Gas Tankers </w:t>
            </w:r>
          </w:p>
        </w:tc>
        <w:tc>
          <w:tcPr>
            <w:tcW w:w="6662" w:type="dxa"/>
          </w:tcPr>
          <w:p w14:paraId="045DC6ED" w14:textId="77777777" w:rsidR="00985A67" w:rsidRPr="00E00DF5" w:rsidRDefault="00985A67"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Assets which are dedicated to transporting fossil fuels are not eligible under the criteria. This is applicable to ships which are classified as LNG Carriers or Crude Oil Tankers.</w:t>
            </w:r>
          </w:p>
        </w:tc>
      </w:tr>
      <w:tr w:rsidR="00EA1F8A" w14:paraId="6F904738" w14:textId="77777777" w:rsidTr="008E57B3">
        <w:tc>
          <w:tcPr>
            <w:tcW w:w="2552" w:type="dxa"/>
          </w:tcPr>
          <w:p w14:paraId="37F25B69" w14:textId="18205DEC" w:rsidR="00EA1F8A" w:rsidRPr="00E00DF5" w:rsidRDefault="00EA1F8A" w:rsidP="00E00DF5">
            <w:pPr>
              <w:pStyle w:val="Normal1"/>
              <w:jc w:val="left"/>
              <w:rPr>
                <w:rFonts w:asciiTheme="minorHAnsi" w:hAnsiTheme="minorHAnsi" w:cstheme="minorHAnsi"/>
                <w:i w:val="0"/>
                <w:iCs w:val="0"/>
              </w:rPr>
            </w:pPr>
            <w:r>
              <w:rPr>
                <w:rFonts w:asciiTheme="minorHAnsi" w:hAnsiTheme="minorHAnsi" w:cstheme="minorHAnsi"/>
                <w:i w:val="0"/>
                <w:iCs w:val="0"/>
              </w:rPr>
              <w:t xml:space="preserve">Dry </w:t>
            </w:r>
            <w:r w:rsidR="008E57B3">
              <w:rPr>
                <w:rFonts w:asciiTheme="minorHAnsi" w:hAnsiTheme="minorHAnsi" w:cstheme="minorHAnsi"/>
                <w:i w:val="0"/>
                <w:iCs w:val="0"/>
              </w:rPr>
              <w:t>B</w:t>
            </w:r>
            <w:r>
              <w:rPr>
                <w:rFonts w:asciiTheme="minorHAnsi" w:hAnsiTheme="minorHAnsi" w:cstheme="minorHAnsi"/>
                <w:i w:val="0"/>
                <w:iCs w:val="0"/>
              </w:rPr>
              <w:t xml:space="preserve">ulk </w:t>
            </w:r>
            <w:r w:rsidR="008E57B3">
              <w:rPr>
                <w:rFonts w:asciiTheme="minorHAnsi" w:hAnsiTheme="minorHAnsi" w:cstheme="minorHAnsi"/>
                <w:i w:val="0"/>
                <w:iCs w:val="0"/>
              </w:rPr>
              <w:t>C</w:t>
            </w:r>
            <w:r>
              <w:rPr>
                <w:rFonts w:asciiTheme="minorHAnsi" w:hAnsiTheme="minorHAnsi" w:cstheme="minorHAnsi"/>
                <w:i w:val="0"/>
                <w:iCs w:val="0"/>
              </w:rPr>
              <w:t>arriers</w:t>
            </w:r>
            <w:r w:rsidR="008E57B3">
              <w:rPr>
                <w:rFonts w:asciiTheme="minorHAnsi" w:hAnsiTheme="minorHAnsi" w:cstheme="minorHAnsi"/>
                <w:i w:val="0"/>
                <w:iCs w:val="0"/>
              </w:rPr>
              <w:t xml:space="preserve"> IF transporting more than the maximum threshold of coal</w:t>
            </w:r>
          </w:p>
        </w:tc>
        <w:tc>
          <w:tcPr>
            <w:tcW w:w="6662" w:type="dxa"/>
          </w:tcPr>
          <w:p w14:paraId="67A99399" w14:textId="7A1D8EFD" w:rsidR="00EA1F8A" w:rsidRPr="00E00DF5" w:rsidRDefault="008E57B3" w:rsidP="00E00DF5">
            <w:pPr>
              <w:pStyle w:val="Normal1"/>
              <w:jc w:val="left"/>
              <w:rPr>
                <w:rFonts w:asciiTheme="minorHAnsi" w:hAnsiTheme="minorHAnsi" w:cstheme="minorHAnsi"/>
                <w:i w:val="0"/>
                <w:iCs w:val="0"/>
              </w:rPr>
            </w:pPr>
            <w:r>
              <w:rPr>
                <w:rFonts w:asciiTheme="minorHAnsi" w:hAnsiTheme="minorHAnsi" w:cstheme="minorHAnsi"/>
                <w:i w:val="0"/>
                <w:iCs w:val="0"/>
              </w:rPr>
              <w:t xml:space="preserve">Assets where more than 50% of volumes transported annually are coal </w:t>
            </w:r>
            <w:r w:rsidRPr="008E57B3">
              <w:rPr>
                <w:rFonts w:asciiTheme="minorHAnsi" w:hAnsiTheme="minorHAnsi" w:cstheme="minorHAnsi"/>
                <w:b/>
                <w:bCs/>
                <w:u w:val="single"/>
              </w:rPr>
              <w:t>or other fossil fuels.</w:t>
            </w:r>
            <w:r>
              <w:rPr>
                <w:rFonts w:asciiTheme="minorHAnsi" w:hAnsiTheme="minorHAnsi" w:cstheme="minorHAnsi"/>
                <w:i w:val="0"/>
                <w:iCs w:val="0"/>
              </w:rPr>
              <w:t xml:space="preserve"> </w:t>
            </w:r>
          </w:p>
        </w:tc>
      </w:tr>
      <w:tr w:rsidR="00985A67" w14:paraId="0108034F" w14:textId="77777777" w:rsidTr="008E57B3">
        <w:tc>
          <w:tcPr>
            <w:tcW w:w="2552" w:type="dxa"/>
          </w:tcPr>
          <w:p w14:paraId="05F2D1D6" w14:textId="77777777" w:rsidR="00985A67" w:rsidRPr="00E00DF5" w:rsidRDefault="00985A67"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 xml:space="preserve">Assets dedicated to supporting the fossil fuel sector </w:t>
            </w:r>
          </w:p>
        </w:tc>
        <w:tc>
          <w:tcPr>
            <w:tcW w:w="6662" w:type="dxa"/>
          </w:tcPr>
          <w:p w14:paraId="4F68C2DA" w14:textId="269C8C9B" w:rsidR="00985A67" w:rsidRPr="00E00DF5" w:rsidRDefault="00985A67"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Assets used for the exploration or production of fossil fuels are not eligible under the criteria. This includes</w:t>
            </w:r>
            <w:r w:rsidR="00F653C4">
              <w:rPr>
                <w:rFonts w:asciiTheme="minorHAnsi" w:hAnsiTheme="minorHAnsi" w:cstheme="minorHAnsi"/>
                <w:i w:val="0"/>
                <w:iCs w:val="0"/>
              </w:rPr>
              <w:t xml:space="preserve"> but is not limited to</w:t>
            </w:r>
            <w:r w:rsidRPr="00E00DF5">
              <w:rPr>
                <w:rFonts w:asciiTheme="minorHAnsi" w:hAnsiTheme="minorHAnsi" w:cstheme="minorHAnsi"/>
                <w:i w:val="0"/>
                <w:iCs w:val="0"/>
              </w:rPr>
              <w:t xml:space="preserve">: Floating Production, Supply and Offloading (FPSO) Vessels; Subsea, </w:t>
            </w:r>
            <w:proofErr w:type="spellStart"/>
            <w:r w:rsidRPr="00E00DF5">
              <w:rPr>
                <w:rFonts w:asciiTheme="minorHAnsi" w:hAnsiTheme="minorHAnsi" w:cstheme="minorHAnsi"/>
                <w:i w:val="0"/>
                <w:iCs w:val="0"/>
              </w:rPr>
              <w:t>Umbilicals</w:t>
            </w:r>
            <w:proofErr w:type="spellEnd"/>
            <w:r w:rsidRPr="00E00DF5">
              <w:rPr>
                <w:rFonts w:asciiTheme="minorHAnsi" w:hAnsiTheme="minorHAnsi" w:cstheme="minorHAnsi"/>
                <w:i w:val="0"/>
                <w:iCs w:val="0"/>
              </w:rPr>
              <w:t>, Risers, Flowlines (SURF) Vessels; Drilling Units; Platform Supply Vessels; Well Intervention Vessels</w:t>
            </w:r>
            <w:r w:rsidR="006E1296">
              <w:rPr>
                <w:rFonts w:asciiTheme="minorHAnsi" w:hAnsiTheme="minorHAnsi" w:cstheme="minorHAnsi"/>
                <w:i w:val="0"/>
                <w:iCs w:val="0"/>
              </w:rPr>
              <w:t xml:space="preserve">. </w:t>
            </w:r>
          </w:p>
        </w:tc>
      </w:tr>
      <w:tr w:rsidR="00FB173C" w:rsidRPr="00FB173C" w14:paraId="232CCBEF" w14:textId="77777777" w:rsidTr="008E57B3">
        <w:tc>
          <w:tcPr>
            <w:tcW w:w="2552" w:type="dxa"/>
          </w:tcPr>
          <w:p w14:paraId="0B088811" w14:textId="218E3BFD" w:rsidR="00FB173C" w:rsidRPr="00E00DF5" w:rsidRDefault="00553EF0" w:rsidP="00E00DF5">
            <w:pPr>
              <w:pStyle w:val="Normal1"/>
              <w:jc w:val="left"/>
              <w:rPr>
                <w:rFonts w:asciiTheme="minorHAnsi" w:hAnsiTheme="minorHAnsi" w:cstheme="minorHAnsi"/>
                <w:i w:val="0"/>
                <w:iCs w:val="0"/>
              </w:rPr>
            </w:pPr>
            <w:r>
              <w:rPr>
                <w:rFonts w:asciiTheme="minorHAnsi" w:hAnsiTheme="minorHAnsi" w:cstheme="minorHAnsi"/>
                <w:i w:val="0"/>
                <w:iCs w:val="0"/>
              </w:rPr>
              <w:t>Assets dedicated to m</w:t>
            </w:r>
            <w:r w:rsidR="00FB173C" w:rsidRPr="00E00DF5">
              <w:rPr>
                <w:rFonts w:asciiTheme="minorHAnsi" w:hAnsiTheme="minorHAnsi" w:cstheme="minorHAnsi"/>
                <w:i w:val="0"/>
                <w:iCs w:val="0"/>
              </w:rPr>
              <w:t>anufacture of ships</w:t>
            </w:r>
          </w:p>
        </w:tc>
        <w:tc>
          <w:tcPr>
            <w:tcW w:w="6662" w:type="dxa"/>
          </w:tcPr>
          <w:p w14:paraId="6158B536" w14:textId="1B72AF60" w:rsidR="00FB173C" w:rsidRPr="00E00DF5" w:rsidRDefault="00FB173C"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All manufacturing facilities and associated assets and projects</w:t>
            </w:r>
            <w:r w:rsidR="006E1296">
              <w:rPr>
                <w:rFonts w:asciiTheme="minorHAnsi" w:hAnsiTheme="minorHAnsi" w:cstheme="minorHAnsi"/>
                <w:i w:val="0"/>
                <w:iCs w:val="0"/>
              </w:rPr>
              <w:t>.</w:t>
            </w:r>
          </w:p>
        </w:tc>
      </w:tr>
      <w:tr w:rsidR="00FB173C" w:rsidRPr="00FB173C" w14:paraId="6921F382" w14:textId="77777777" w:rsidTr="008E57B3">
        <w:tc>
          <w:tcPr>
            <w:tcW w:w="2552" w:type="dxa"/>
          </w:tcPr>
          <w:p w14:paraId="6541A4D3" w14:textId="7574F2BB" w:rsidR="00FB173C" w:rsidRPr="00E00DF5" w:rsidRDefault="00FB173C"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 xml:space="preserve">Other port infrastructure </w:t>
            </w:r>
          </w:p>
        </w:tc>
        <w:tc>
          <w:tcPr>
            <w:tcW w:w="6662" w:type="dxa"/>
          </w:tcPr>
          <w:p w14:paraId="225D1CAE" w14:textId="0B29D4F0" w:rsidR="00FB173C" w:rsidRPr="00E00DF5" w:rsidRDefault="00FB173C"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 xml:space="preserve">Port infrastructure not directly related to the direct supply of zero emissions energy/fuel to a ship, </w:t>
            </w:r>
            <w:r w:rsidR="009764F4">
              <w:rPr>
                <w:rFonts w:asciiTheme="minorHAnsi" w:hAnsiTheme="minorHAnsi" w:cstheme="minorHAnsi"/>
                <w:i w:val="0"/>
                <w:iCs w:val="0"/>
              </w:rPr>
              <w:t>(</w:t>
            </w:r>
            <w:r w:rsidRPr="00E00DF5">
              <w:rPr>
                <w:rFonts w:asciiTheme="minorHAnsi" w:hAnsiTheme="minorHAnsi" w:cstheme="minorHAnsi"/>
                <w:i w:val="0"/>
                <w:iCs w:val="0"/>
              </w:rPr>
              <w:t>such as warehousing</w:t>
            </w:r>
            <w:r w:rsidR="009764F4">
              <w:rPr>
                <w:rFonts w:asciiTheme="minorHAnsi" w:hAnsiTheme="minorHAnsi" w:cstheme="minorHAnsi"/>
                <w:i w:val="0"/>
                <w:iCs w:val="0"/>
              </w:rPr>
              <w:t xml:space="preserve">, </w:t>
            </w:r>
            <w:r w:rsidRPr="00E00DF5">
              <w:rPr>
                <w:rFonts w:asciiTheme="minorHAnsi" w:hAnsiTheme="minorHAnsi" w:cstheme="minorHAnsi"/>
                <w:i w:val="0"/>
                <w:iCs w:val="0"/>
              </w:rPr>
              <w:t>cranes</w:t>
            </w:r>
            <w:r w:rsidR="009764F4">
              <w:rPr>
                <w:rFonts w:asciiTheme="minorHAnsi" w:hAnsiTheme="minorHAnsi" w:cstheme="minorHAnsi"/>
                <w:i w:val="0"/>
                <w:iCs w:val="0"/>
              </w:rPr>
              <w:t xml:space="preserve"> or terminal buildings</w:t>
            </w:r>
            <w:r w:rsidRPr="00E00DF5">
              <w:rPr>
                <w:rFonts w:asciiTheme="minorHAnsi" w:hAnsiTheme="minorHAnsi" w:cstheme="minorHAnsi"/>
                <w:i w:val="0"/>
                <w:iCs w:val="0"/>
              </w:rPr>
              <w:t>)</w:t>
            </w:r>
            <w:r w:rsidR="006E1296">
              <w:rPr>
                <w:rFonts w:asciiTheme="minorHAnsi" w:hAnsiTheme="minorHAnsi" w:cstheme="minorHAnsi"/>
                <w:i w:val="0"/>
                <w:iCs w:val="0"/>
              </w:rPr>
              <w:t xml:space="preserve">. </w:t>
            </w:r>
          </w:p>
        </w:tc>
      </w:tr>
    </w:tbl>
    <w:p w14:paraId="0EB004BB" w14:textId="6B609039" w:rsidR="00483D80" w:rsidRPr="008B5B77" w:rsidRDefault="00322677" w:rsidP="00E00DF5">
      <w:pPr>
        <w:pStyle w:val="ListParagraph"/>
        <w:numPr>
          <w:ilvl w:val="0"/>
          <w:numId w:val="18"/>
        </w:numPr>
        <w:rPr>
          <w:rStyle w:val="Heading1Char"/>
        </w:rPr>
      </w:pPr>
      <w:bookmarkStart w:id="3" w:name="_Toc37692160"/>
      <w:r>
        <w:rPr>
          <w:rStyle w:val="Heading1Char"/>
        </w:rPr>
        <w:lastRenderedPageBreak/>
        <w:t xml:space="preserve">Mitigation </w:t>
      </w:r>
      <w:r w:rsidR="00A84AB2">
        <w:rPr>
          <w:rStyle w:val="Heading1Char"/>
        </w:rPr>
        <w:t>Criteria</w:t>
      </w:r>
      <w:r>
        <w:rPr>
          <w:rStyle w:val="Heading1Char"/>
        </w:rPr>
        <w:t xml:space="preserve"> </w:t>
      </w:r>
      <w:r w:rsidR="00E75289">
        <w:rPr>
          <w:rStyle w:val="Heading1Char"/>
        </w:rPr>
        <w:t>for Vessels</w:t>
      </w:r>
      <w:bookmarkEnd w:id="3"/>
    </w:p>
    <w:p w14:paraId="1AD7F1F9" w14:textId="77777777" w:rsidR="00DF1C7E" w:rsidRDefault="00DF1C7E" w:rsidP="009205FE"/>
    <w:p w14:paraId="54DBB0D5" w14:textId="27EE8CF9" w:rsidR="00322677" w:rsidRDefault="00DF1C7E" w:rsidP="009205FE">
      <w:r>
        <w:t>In essence, issuers must d</w:t>
      </w:r>
      <w:r w:rsidRPr="00E00DF5">
        <w:t>emonstrate that the expected carbon-equivalent intensity of the ship is aligned with the decarbonisation trajectory (emissions intensity threshold) of the ship’s type/size category (“the ship’s class”) over the lifetime of the bond, reaching zero emissions by 2050.</w:t>
      </w:r>
      <w:r w:rsidRPr="00E00DF5">
        <w:rPr>
          <w:rStyle w:val="FootnoteReference"/>
          <w:i/>
          <w:iCs/>
          <w:szCs w:val="22"/>
        </w:rPr>
        <w:footnoteReference w:id="6"/>
      </w:r>
      <w:r w:rsidR="004C4A41">
        <w:rPr>
          <w:vertAlign w:val="superscript"/>
        </w:rPr>
        <w:t>,</w:t>
      </w:r>
      <w:r w:rsidRPr="00E00DF5">
        <w:rPr>
          <w:rStyle w:val="FootnoteReference"/>
          <w:i/>
          <w:iCs/>
          <w:szCs w:val="22"/>
        </w:rPr>
        <w:footnoteReference w:id="7"/>
      </w:r>
      <w:r>
        <w:t xml:space="preserve"> </w:t>
      </w:r>
      <w:r w:rsidR="00AD54BC" w:rsidRPr="00F45ACD">
        <w:t>Issuers are required to show that each asset targeted for the Use of Proceeds from a Certified bond, is operating below the emissions intensity threshold in each respective year that the bond is outstanding.</w:t>
      </w:r>
      <w:r w:rsidR="00AD54BC" w:rsidRPr="00F45ACD">
        <w:rPr>
          <w:sz w:val="28"/>
          <w:szCs w:val="28"/>
        </w:rPr>
        <w:t xml:space="preserve"> </w:t>
      </w:r>
      <w:r w:rsidRPr="00E00DF5">
        <w:t xml:space="preserve">Ships that are not </w:t>
      </w:r>
      <w:r w:rsidR="00AD54BC">
        <w:t>zero-emissions</w:t>
      </w:r>
      <w:r w:rsidRPr="00E00DF5">
        <w:t xml:space="preserve"> must provide a managed </w:t>
      </w:r>
      <w:r w:rsidR="00AD54BC">
        <w:t xml:space="preserve">reduction </w:t>
      </w:r>
      <w:r w:rsidRPr="00E00DF5">
        <w:t>plan</w:t>
      </w:r>
      <w:r w:rsidR="00AD54BC">
        <w:t xml:space="preserve"> (MRP)</w:t>
      </w:r>
      <w:r w:rsidRPr="00E00DF5">
        <w:t xml:space="preserve"> that shows how the ship can remain under the emissions intensity threshold during the operational life of the ship.</w:t>
      </w:r>
      <w:r w:rsidR="00AD54BC">
        <w:t xml:space="preserve"> </w:t>
      </w:r>
      <w:r w:rsidR="00F45ACD">
        <w:t>The figure</w:t>
      </w:r>
      <w:r w:rsidR="00322677" w:rsidRPr="00EE161E">
        <w:t xml:space="preserve"> below provides an overview of the eligibility criteria for certifying a vessel under the Climate Bonds Standard and Certification scheme. </w:t>
      </w:r>
    </w:p>
    <w:p w14:paraId="0E8FCD7D" w14:textId="39BBC259" w:rsidR="00852E07" w:rsidRDefault="00D53304" w:rsidP="009205FE">
      <w:r w:rsidRPr="00D53304">
        <w:rPr>
          <w:noProof/>
        </w:rPr>
        <w:drawing>
          <wp:inline distT="0" distB="0" distL="0" distR="0" wp14:anchorId="6F40958E" wp14:editId="69C34966">
            <wp:extent cx="5725795" cy="4949806"/>
            <wp:effectExtent l="0" t="0" r="1905"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rotWithShape="1">
                    <a:blip r:embed="rId10"/>
                    <a:srcRect t="5375" b="3913"/>
                    <a:stretch/>
                  </pic:blipFill>
                  <pic:spPr bwMode="auto">
                    <a:xfrm>
                      <a:off x="0" y="0"/>
                      <a:ext cx="5763473" cy="4982378"/>
                    </a:xfrm>
                    <a:prstGeom prst="rect">
                      <a:avLst/>
                    </a:prstGeom>
                    <a:ln>
                      <a:noFill/>
                    </a:ln>
                    <a:extLst>
                      <a:ext uri="{53640926-AAD7-44D8-BBD7-CCE9431645EC}">
                        <a14:shadowObscured xmlns:a14="http://schemas.microsoft.com/office/drawing/2010/main"/>
                      </a:ext>
                    </a:extLst>
                  </pic:spPr>
                </pic:pic>
              </a:graphicData>
            </a:graphic>
          </wp:inline>
        </w:drawing>
      </w:r>
    </w:p>
    <w:p w14:paraId="4FE1C362" w14:textId="77777777" w:rsidR="00852E07" w:rsidRDefault="00852E07" w:rsidP="009205FE"/>
    <w:p w14:paraId="7AF34E5E" w14:textId="06002089" w:rsidR="00852E07" w:rsidRDefault="00852E07" w:rsidP="00852E07">
      <w:pPr>
        <w:pStyle w:val="Normal1"/>
        <w:jc w:val="left"/>
      </w:pPr>
    </w:p>
    <w:p w14:paraId="56CB8B5E" w14:textId="5CA1074E" w:rsidR="0084476E" w:rsidRDefault="00C654FC" w:rsidP="009205FE">
      <w:pPr>
        <w:pStyle w:val="Normal1"/>
        <w:rPr>
          <w:rFonts w:asciiTheme="minorHAnsi" w:hAnsiTheme="minorHAnsi" w:cstheme="minorHAnsi"/>
          <w:b/>
          <w:bCs/>
          <w:i w:val="0"/>
          <w:iCs w:val="0"/>
          <w:sz w:val="24"/>
          <w:szCs w:val="24"/>
        </w:rPr>
      </w:pPr>
      <w:r w:rsidRPr="00E00DF5">
        <w:rPr>
          <w:rFonts w:asciiTheme="minorHAnsi" w:hAnsiTheme="minorHAnsi" w:cstheme="minorHAnsi"/>
          <w:b/>
          <w:bCs/>
          <w:i w:val="0"/>
          <w:iCs w:val="0"/>
          <w:sz w:val="24"/>
          <w:szCs w:val="24"/>
        </w:rPr>
        <w:t>Methodological notes</w:t>
      </w:r>
      <w:r w:rsidR="00E00DF5" w:rsidRPr="00E00DF5">
        <w:rPr>
          <w:rFonts w:asciiTheme="minorHAnsi" w:hAnsiTheme="minorHAnsi" w:cstheme="minorHAnsi"/>
          <w:b/>
          <w:bCs/>
          <w:i w:val="0"/>
          <w:iCs w:val="0"/>
          <w:sz w:val="24"/>
          <w:szCs w:val="24"/>
        </w:rPr>
        <w:t>:</w:t>
      </w:r>
    </w:p>
    <w:p w14:paraId="70ACD516" w14:textId="77777777" w:rsidR="00553EF0" w:rsidRPr="00553EF0" w:rsidRDefault="00553EF0" w:rsidP="009205FE">
      <w:pPr>
        <w:pStyle w:val="Normal1"/>
        <w:rPr>
          <w:rFonts w:asciiTheme="minorHAnsi" w:hAnsiTheme="minorHAnsi" w:cstheme="minorHAnsi"/>
          <w:b/>
          <w:bCs/>
          <w:i w:val="0"/>
          <w:iCs w:val="0"/>
          <w:sz w:val="24"/>
          <w:szCs w:val="24"/>
        </w:rPr>
      </w:pPr>
    </w:p>
    <w:p w14:paraId="1343B8D4" w14:textId="190A4F45" w:rsidR="0084476E" w:rsidRPr="00E00DF5" w:rsidRDefault="0084476E" w:rsidP="009205FE">
      <w:pPr>
        <w:pStyle w:val="Normal1"/>
        <w:rPr>
          <w:rFonts w:asciiTheme="minorHAnsi" w:hAnsiTheme="minorHAnsi" w:cstheme="minorHAnsi"/>
          <w:i w:val="0"/>
          <w:iCs w:val="0"/>
          <w:sz w:val="24"/>
          <w:szCs w:val="24"/>
        </w:rPr>
      </w:pPr>
      <w:bookmarkStart w:id="4" w:name="_Hlk36544406"/>
      <w:r w:rsidRPr="00E00DF5">
        <w:rPr>
          <w:rFonts w:asciiTheme="minorHAnsi" w:hAnsiTheme="minorHAnsi" w:cstheme="minorHAnsi"/>
          <w:i w:val="0"/>
          <w:iCs w:val="0"/>
          <w:sz w:val="24"/>
          <w:szCs w:val="24"/>
        </w:rPr>
        <w:t>Performing under the appropriate emission intensity metric requires:</w:t>
      </w:r>
    </w:p>
    <w:bookmarkEnd w:id="4"/>
    <w:p w14:paraId="40A15597" w14:textId="245291F1" w:rsidR="00121E82" w:rsidRPr="00553EF0" w:rsidRDefault="00553EF0" w:rsidP="00553EF0">
      <w:pPr>
        <w:pStyle w:val="ListParagraph"/>
        <w:numPr>
          <w:ilvl w:val="0"/>
          <w:numId w:val="29"/>
        </w:numPr>
        <w:rPr>
          <w:rFonts w:cstheme="minorHAnsi"/>
          <w:sz w:val="24"/>
          <w:szCs w:val="24"/>
          <w:bdr w:val="none" w:sz="0" w:space="0" w:color="auto"/>
        </w:rPr>
      </w:pPr>
      <w:r>
        <w:rPr>
          <w:rFonts w:cstheme="minorHAnsi"/>
          <w:sz w:val="24"/>
          <w:szCs w:val="24"/>
          <w:bdr w:val="none" w:sz="0" w:space="0" w:color="auto"/>
        </w:rPr>
        <w:t xml:space="preserve">The carbon intensity of the ship (as measured by AER or EEOI) must be on or below the decarbonisation trajectory for that ship’s type and size category </w:t>
      </w:r>
      <w:r w:rsidRPr="002926D5">
        <w:rPr>
          <w:rFonts w:cstheme="minorHAnsi"/>
          <w:b/>
          <w:bCs/>
          <w:sz w:val="24"/>
          <w:szCs w:val="24"/>
          <w:bdr w:val="none" w:sz="0" w:space="0" w:color="auto"/>
        </w:rPr>
        <w:t>for each</w:t>
      </w:r>
      <w:r w:rsidR="00627177">
        <w:rPr>
          <w:rFonts w:cstheme="minorHAnsi"/>
          <w:b/>
          <w:bCs/>
          <w:sz w:val="24"/>
          <w:szCs w:val="24"/>
          <w:bdr w:val="none" w:sz="0" w:space="0" w:color="auto"/>
        </w:rPr>
        <w:t xml:space="preserve"> respective</w:t>
      </w:r>
      <w:r w:rsidRPr="002926D5">
        <w:rPr>
          <w:rFonts w:cstheme="minorHAnsi"/>
          <w:b/>
          <w:bCs/>
          <w:sz w:val="24"/>
          <w:szCs w:val="24"/>
          <w:bdr w:val="none" w:sz="0" w:space="0" w:color="auto"/>
        </w:rPr>
        <w:t xml:space="preserve"> year that the bond is outstanding. </w:t>
      </w:r>
      <w:r w:rsidR="00121E82" w:rsidRPr="00553EF0">
        <w:rPr>
          <w:rFonts w:cstheme="minorHAnsi"/>
          <w:sz w:val="24"/>
          <w:szCs w:val="24"/>
          <w:bdr w:val="none" w:sz="0" w:space="0" w:color="auto"/>
        </w:rPr>
        <w:t xml:space="preserve">These decarbonisation trajectories are summarised in Annex 1. A linear trajectory should be assumed for time periods between the dates and thresholds </w:t>
      </w:r>
      <w:r>
        <w:rPr>
          <w:rFonts w:cstheme="minorHAnsi"/>
          <w:sz w:val="24"/>
          <w:szCs w:val="24"/>
          <w:bdr w:val="none" w:sz="0" w:space="0" w:color="auto"/>
        </w:rPr>
        <w:t>provided</w:t>
      </w:r>
      <w:r w:rsidR="00121E82" w:rsidRPr="00553EF0">
        <w:rPr>
          <w:rFonts w:cstheme="minorHAnsi"/>
          <w:sz w:val="24"/>
          <w:szCs w:val="24"/>
          <w:bdr w:val="none" w:sz="0" w:space="0" w:color="auto"/>
        </w:rPr>
        <w:t xml:space="preserve">. </w:t>
      </w:r>
    </w:p>
    <w:p w14:paraId="707259FA" w14:textId="77777777" w:rsidR="00553EF0" w:rsidRDefault="00553EF0" w:rsidP="00553EF0"/>
    <w:p w14:paraId="19FF649D" w14:textId="755F0D00" w:rsidR="00A30E8F" w:rsidRPr="00553EF0" w:rsidRDefault="00627177" w:rsidP="00553EF0">
      <w:r>
        <w:t>Greenhouse Gas e</w:t>
      </w:r>
      <w:r w:rsidR="00A30E8F" w:rsidRPr="00553EF0">
        <w:t>missions from the exhausts of ships in operation</w:t>
      </w:r>
      <w:r w:rsidR="00553EF0">
        <w:t xml:space="preserve"> must be provided </w:t>
      </w:r>
      <w:r w:rsidR="00A30E8F" w:rsidRPr="00553EF0">
        <w:t>(see below). Emissions associated with supply chains of energy used by ships in operation, for example those associated with the production, transport, distribution of energy/fuel are not counted</w:t>
      </w:r>
      <w:r>
        <w:t>,</w:t>
      </w:r>
      <w:r w:rsidR="00553EF0" w:rsidRPr="00553EF0">
        <w:t xml:space="preserve"> </w:t>
      </w:r>
      <w:r>
        <w:t>neither</w:t>
      </w:r>
      <w:r w:rsidR="00A30E8F" w:rsidRPr="00553EF0">
        <w:t xml:space="preserve"> are </w:t>
      </w:r>
      <w:r>
        <w:t xml:space="preserve">the </w:t>
      </w:r>
      <w:r w:rsidR="00A30E8F" w:rsidRPr="00553EF0">
        <w:t>emissions associated with the construction and disposal of ships.</w:t>
      </w:r>
      <w:r w:rsidR="00553EF0" w:rsidRPr="00553EF0">
        <w:t xml:space="preserve"> </w:t>
      </w:r>
    </w:p>
    <w:p w14:paraId="37C340E8" w14:textId="77777777" w:rsidR="00410029" w:rsidRPr="00E00DF5" w:rsidRDefault="00410029" w:rsidP="009205FE">
      <w:pPr>
        <w:pStyle w:val="ListParagraph"/>
        <w:rPr>
          <w:rFonts w:cstheme="minorHAnsi"/>
          <w:sz w:val="24"/>
          <w:szCs w:val="24"/>
        </w:rPr>
      </w:pPr>
    </w:p>
    <w:p w14:paraId="4214AFDF" w14:textId="72B10D82" w:rsidR="00EA2628" w:rsidRDefault="00A30E8F" w:rsidP="009205FE">
      <w:pPr>
        <w:pStyle w:val="Normal1"/>
        <w:rPr>
          <w:rFonts w:asciiTheme="minorHAnsi" w:hAnsiTheme="minorHAnsi" w:cstheme="minorHAnsi"/>
          <w:i w:val="0"/>
          <w:iCs w:val="0"/>
          <w:sz w:val="24"/>
          <w:szCs w:val="24"/>
        </w:rPr>
      </w:pPr>
      <w:r w:rsidRPr="00E00DF5">
        <w:rPr>
          <w:rFonts w:asciiTheme="minorHAnsi" w:hAnsiTheme="minorHAnsi" w:cstheme="minorHAnsi"/>
          <w:i w:val="0"/>
          <w:iCs w:val="0"/>
          <w:sz w:val="24"/>
          <w:szCs w:val="24"/>
        </w:rPr>
        <w:t>The metric used for emissions from the exhausts of ships is the carbon-equivalent intensity (gCO2-e/tonne-nm</w:t>
      </w:r>
      <w:r w:rsidR="00410029" w:rsidRPr="00E00DF5">
        <w:rPr>
          <w:rFonts w:asciiTheme="minorHAnsi" w:hAnsiTheme="minorHAnsi" w:cstheme="minorHAnsi"/>
          <w:i w:val="0"/>
          <w:iCs w:val="0"/>
          <w:sz w:val="24"/>
          <w:szCs w:val="24"/>
        </w:rPr>
        <w:t>)</w:t>
      </w:r>
      <w:r w:rsidRPr="00E00DF5">
        <w:rPr>
          <w:rStyle w:val="FootnoteReference"/>
          <w:rFonts w:asciiTheme="minorHAnsi" w:hAnsiTheme="minorHAnsi" w:cstheme="minorHAnsi"/>
          <w:i w:val="0"/>
          <w:iCs w:val="0"/>
          <w:sz w:val="24"/>
          <w:szCs w:val="24"/>
        </w:rPr>
        <w:footnoteReference w:id="8"/>
      </w:r>
      <w:r w:rsidRPr="00E00DF5">
        <w:rPr>
          <w:rFonts w:asciiTheme="minorHAnsi" w:hAnsiTheme="minorHAnsi" w:cstheme="minorHAnsi"/>
          <w:i w:val="0"/>
          <w:iCs w:val="0"/>
          <w:sz w:val="24"/>
          <w:szCs w:val="24"/>
        </w:rPr>
        <w:t xml:space="preserve"> that represents its performance in real operating conditions. </w:t>
      </w:r>
      <w:r w:rsidR="00EA2628" w:rsidRPr="00E00DF5">
        <w:rPr>
          <w:rFonts w:asciiTheme="minorHAnsi" w:hAnsiTheme="minorHAnsi" w:cstheme="minorHAnsi"/>
          <w:i w:val="0"/>
          <w:iCs w:val="0"/>
          <w:sz w:val="24"/>
          <w:szCs w:val="24"/>
        </w:rPr>
        <w:t>More information on the accepted metrics are given</w:t>
      </w:r>
      <w:r w:rsidR="00410029" w:rsidRPr="00E00DF5">
        <w:rPr>
          <w:rFonts w:asciiTheme="minorHAnsi" w:hAnsiTheme="minorHAnsi" w:cstheme="minorHAnsi"/>
          <w:i w:val="0"/>
          <w:iCs w:val="0"/>
          <w:sz w:val="24"/>
          <w:szCs w:val="24"/>
        </w:rPr>
        <w:t xml:space="preserve"> below</w:t>
      </w:r>
      <w:r w:rsidR="00EA2628" w:rsidRPr="00E00DF5">
        <w:rPr>
          <w:rFonts w:asciiTheme="minorHAnsi" w:hAnsiTheme="minorHAnsi" w:cstheme="minorHAnsi"/>
          <w:i w:val="0"/>
          <w:iCs w:val="0"/>
          <w:sz w:val="24"/>
          <w:szCs w:val="24"/>
        </w:rPr>
        <w:t xml:space="preserve"> in Table 3. </w:t>
      </w:r>
    </w:p>
    <w:p w14:paraId="56357255" w14:textId="7218ECDF" w:rsidR="00AF1F1A" w:rsidRPr="00E00DF5" w:rsidRDefault="00AF1F1A" w:rsidP="009205FE">
      <w:pPr>
        <w:pStyle w:val="Normal1"/>
        <w:rPr>
          <w:rFonts w:asciiTheme="minorHAnsi" w:hAnsiTheme="minorHAnsi" w:cstheme="minorHAnsi"/>
          <w:i w:val="0"/>
          <w:iCs w:val="0"/>
          <w:sz w:val="24"/>
          <w:szCs w:val="24"/>
        </w:rPr>
      </w:pPr>
    </w:p>
    <w:p w14:paraId="302091B7" w14:textId="1BA52090" w:rsidR="00EA2628" w:rsidRDefault="00EA2628" w:rsidP="009205FE">
      <w:pPr>
        <w:rPr>
          <w:b/>
          <w:bCs/>
        </w:rPr>
      </w:pPr>
      <w:r w:rsidRPr="00182943">
        <w:rPr>
          <w:b/>
          <w:bCs/>
        </w:rPr>
        <w:t>Table 3. Accepted reporting metrics for Shipping Criteria</w:t>
      </w:r>
    </w:p>
    <w:p w14:paraId="28DF01F1" w14:textId="77777777" w:rsidR="00182943" w:rsidRPr="00182943" w:rsidRDefault="00182943" w:rsidP="009205FE">
      <w:pPr>
        <w:rPr>
          <w:b/>
          <w:bCs/>
          <w:sz w:val="22"/>
          <w:szCs w:val="22"/>
        </w:rPr>
      </w:pPr>
    </w:p>
    <w:tbl>
      <w:tblPr>
        <w:tblStyle w:val="TableGrid"/>
        <w:tblW w:w="9067" w:type="dxa"/>
        <w:tblLook w:val="04A0" w:firstRow="1" w:lastRow="0" w:firstColumn="1" w:lastColumn="0" w:noHBand="0" w:noVBand="1"/>
      </w:tblPr>
      <w:tblGrid>
        <w:gridCol w:w="1281"/>
        <w:gridCol w:w="7786"/>
      </w:tblGrid>
      <w:tr w:rsidR="00EA2628" w:rsidRPr="00765A07" w14:paraId="630B9B84" w14:textId="77777777" w:rsidTr="00410029">
        <w:trPr>
          <w:trHeight w:val="369"/>
        </w:trPr>
        <w:tc>
          <w:tcPr>
            <w:tcW w:w="846" w:type="dxa"/>
            <w:shd w:val="clear" w:color="auto" w:fill="2F5496" w:themeFill="accent1" w:themeFillShade="BF"/>
            <w:vAlign w:val="center"/>
          </w:tcPr>
          <w:p w14:paraId="6C82D725" w14:textId="77777777" w:rsidR="00EA2628" w:rsidRPr="00DF1C7E" w:rsidRDefault="00EA2628" w:rsidP="009205FE">
            <w:pPr>
              <w:pStyle w:val="Normal2"/>
              <w:rPr>
                <w:color w:val="FFFFFF" w:themeColor="background1"/>
              </w:rPr>
            </w:pPr>
            <w:r w:rsidRPr="00DF1C7E">
              <w:rPr>
                <w:color w:val="FFFFFF" w:themeColor="background1"/>
                <w:lang w:val="en-GB"/>
              </w:rPr>
              <w:t>Metric</w:t>
            </w:r>
          </w:p>
        </w:tc>
        <w:tc>
          <w:tcPr>
            <w:tcW w:w="8221" w:type="dxa"/>
            <w:shd w:val="clear" w:color="auto" w:fill="2F5496" w:themeFill="accent1" w:themeFillShade="BF"/>
            <w:vAlign w:val="center"/>
          </w:tcPr>
          <w:p w14:paraId="72849316" w14:textId="77777777" w:rsidR="00EA2628" w:rsidRPr="00DF1C7E" w:rsidRDefault="00EA2628" w:rsidP="009205FE">
            <w:pPr>
              <w:pStyle w:val="Normal2"/>
              <w:rPr>
                <w:color w:val="FFFFFF" w:themeColor="background1"/>
              </w:rPr>
            </w:pPr>
            <w:r w:rsidRPr="00DF1C7E">
              <w:rPr>
                <w:color w:val="FFFFFF" w:themeColor="background1"/>
              </w:rPr>
              <w:t>Application</w:t>
            </w:r>
          </w:p>
        </w:tc>
      </w:tr>
      <w:tr w:rsidR="00EA2628" w14:paraId="4D2BD33A" w14:textId="77777777" w:rsidTr="00410029">
        <w:tc>
          <w:tcPr>
            <w:tcW w:w="846" w:type="dxa"/>
          </w:tcPr>
          <w:p w14:paraId="4F59FFC7" w14:textId="31A7CD01" w:rsidR="00EA2628" w:rsidRPr="00E00DF5" w:rsidRDefault="00EA2628"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Annual Efficiency Ratio</w:t>
            </w:r>
          </w:p>
        </w:tc>
        <w:tc>
          <w:tcPr>
            <w:tcW w:w="8221" w:type="dxa"/>
          </w:tcPr>
          <w:p w14:paraId="4AB6538D" w14:textId="77777777" w:rsidR="00EA2628" w:rsidRPr="00E00DF5" w:rsidRDefault="00EA2628" w:rsidP="00E00DF5">
            <w:pPr>
              <w:pStyle w:val="Normal1"/>
              <w:jc w:val="left"/>
              <w:rPr>
                <w:rFonts w:asciiTheme="minorHAnsi" w:hAnsiTheme="minorHAnsi" w:cstheme="minorHAnsi"/>
                <w:i w:val="0"/>
                <w:iCs w:val="0"/>
              </w:rPr>
            </w:pPr>
            <w:r w:rsidRPr="00E00DF5">
              <w:rPr>
                <w:rFonts w:asciiTheme="minorHAnsi" w:hAnsiTheme="minorHAnsi" w:cstheme="minorHAnsi" w:hint="cs"/>
                <w:i w:val="0"/>
                <w:iCs w:val="0"/>
              </w:rPr>
              <w:t>The Annual Efficiency Ratio (AER) measures carbon emissions associated with transport work, but it uses a ship’s size (deadweight) as a proxy for cargo carried</w:t>
            </w:r>
            <w:r w:rsidRPr="00E00DF5">
              <w:rPr>
                <w:rFonts w:asciiTheme="minorHAnsi" w:hAnsiTheme="minorHAnsi" w:cstheme="minorHAnsi"/>
                <w:i w:val="0"/>
                <w:iCs w:val="0"/>
              </w:rPr>
              <w:t xml:space="preserve"> and assumes that the ship is fully loaded on all journeys</w:t>
            </w:r>
            <w:r w:rsidRPr="00E00DF5">
              <w:rPr>
                <w:rFonts w:asciiTheme="minorHAnsi" w:hAnsiTheme="minorHAnsi" w:cstheme="minorHAnsi" w:hint="cs"/>
                <w:i w:val="0"/>
                <w:iCs w:val="0"/>
              </w:rPr>
              <w:t xml:space="preserve">. </w:t>
            </w:r>
          </w:p>
          <w:p w14:paraId="4FB03564" w14:textId="77777777" w:rsidR="00EA2628" w:rsidRPr="00E00DF5" w:rsidRDefault="00EA2628" w:rsidP="00E00DF5">
            <w:pPr>
              <w:pStyle w:val="Normal1"/>
              <w:jc w:val="left"/>
              <w:rPr>
                <w:rFonts w:asciiTheme="minorHAnsi" w:hAnsiTheme="minorHAnsi" w:cstheme="minorHAnsi"/>
                <w:i w:val="0"/>
                <w:iCs w:val="0"/>
              </w:rPr>
            </w:pPr>
          </w:p>
          <w:p w14:paraId="35FD301F" w14:textId="77777777" w:rsidR="00EA2628" w:rsidRPr="00E00DF5" w:rsidRDefault="00EA2628"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 xml:space="preserve">Any vessel 5,000 GT and above must report using IMO DCS data that enables AER measurement, unless it operates 100% of the time on voyages that include the EU (in which case it must the EEOI). </w:t>
            </w:r>
          </w:p>
        </w:tc>
      </w:tr>
      <w:tr w:rsidR="00EA2628" w14:paraId="7BB22EE0" w14:textId="77777777" w:rsidTr="00410029">
        <w:tc>
          <w:tcPr>
            <w:tcW w:w="846" w:type="dxa"/>
          </w:tcPr>
          <w:p w14:paraId="25533A3A" w14:textId="4ED96DD3" w:rsidR="00EA2628" w:rsidRPr="00E00DF5" w:rsidRDefault="00EA2628"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Energy Efficiency Operational Index</w:t>
            </w:r>
          </w:p>
        </w:tc>
        <w:tc>
          <w:tcPr>
            <w:tcW w:w="8221" w:type="dxa"/>
          </w:tcPr>
          <w:p w14:paraId="04ED9AF7" w14:textId="77777777" w:rsidR="00EA2628" w:rsidRPr="00E00DF5" w:rsidRDefault="00EA2628"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If the vessel operates 100% of the time on voyages that include the EU</w:t>
            </w:r>
            <w:r w:rsidRPr="00E00DF5">
              <w:rPr>
                <w:rFonts w:asciiTheme="minorHAnsi" w:hAnsiTheme="minorHAnsi" w:cstheme="minorHAnsi"/>
                <w:i w:val="0"/>
                <w:iCs w:val="0"/>
              </w:rPr>
              <w:footnoteReference w:id="9"/>
            </w:r>
            <w:r w:rsidRPr="00E00DF5">
              <w:rPr>
                <w:rFonts w:asciiTheme="minorHAnsi" w:hAnsiTheme="minorHAnsi" w:cstheme="minorHAnsi"/>
                <w:i w:val="0"/>
                <w:iCs w:val="0"/>
              </w:rPr>
              <w:t xml:space="preserve">, then it must report using EEOI. Vessels which are not operating 100% of the time on voyages that include the EU can opt to report EEOI but are required to verify this data independently. </w:t>
            </w:r>
          </w:p>
          <w:p w14:paraId="2A5EABAE" w14:textId="77777777" w:rsidR="00EA2628" w:rsidRPr="00E00DF5" w:rsidRDefault="00EA2628" w:rsidP="00E00DF5">
            <w:pPr>
              <w:pStyle w:val="Normal1"/>
              <w:jc w:val="left"/>
              <w:rPr>
                <w:rFonts w:asciiTheme="minorHAnsi" w:hAnsiTheme="minorHAnsi" w:cstheme="minorHAnsi"/>
                <w:i w:val="0"/>
                <w:iCs w:val="0"/>
              </w:rPr>
            </w:pPr>
          </w:p>
          <w:p w14:paraId="0CED03A9" w14:textId="785E1710" w:rsidR="00EA2628" w:rsidRPr="00E00DF5" w:rsidRDefault="00EA2628" w:rsidP="00E00DF5">
            <w:pPr>
              <w:pStyle w:val="Normal1"/>
              <w:jc w:val="left"/>
              <w:rPr>
                <w:rFonts w:asciiTheme="minorHAnsi" w:hAnsiTheme="minorHAnsi" w:cstheme="minorHAnsi"/>
                <w:i w:val="0"/>
                <w:iCs w:val="0"/>
              </w:rPr>
            </w:pPr>
            <w:r w:rsidRPr="00E00DF5">
              <w:rPr>
                <w:rFonts w:asciiTheme="minorHAnsi" w:hAnsiTheme="minorHAnsi" w:cstheme="minorHAnsi"/>
                <w:i w:val="0"/>
                <w:iCs w:val="0"/>
              </w:rPr>
              <w:t xml:space="preserve">EEOI </w:t>
            </w:r>
            <w:r w:rsidRPr="00E00DF5">
              <w:rPr>
                <w:rFonts w:asciiTheme="minorHAnsi" w:hAnsiTheme="minorHAnsi" w:cstheme="minorHAnsi" w:hint="cs"/>
                <w:i w:val="0"/>
                <w:iCs w:val="0"/>
              </w:rPr>
              <w:t xml:space="preserve">represents the CO2 emitted per </w:t>
            </w:r>
            <w:proofErr w:type="spellStart"/>
            <w:r w:rsidRPr="00E00DF5">
              <w:rPr>
                <w:rFonts w:asciiTheme="minorHAnsi" w:hAnsiTheme="minorHAnsi" w:cstheme="minorHAnsi" w:hint="cs"/>
                <w:i w:val="0"/>
                <w:iCs w:val="0"/>
              </w:rPr>
              <w:t>tonne</w:t>
            </w:r>
            <w:proofErr w:type="spellEnd"/>
            <w:r w:rsidR="00965693">
              <w:rPr>
                <w:rFonts w:asciiTheme="minorHAnsi" w:hAnsiTheme="minorHAnsi" w:cstheme="minorHAnsi"/>
                <w:i w:val="0"/>
                <w:iCs w:val="0"/>
              </w:rPr>
              <w:t>-</w:t>
            </w:r>
            <w:r w:rsidRPr="00E00DF5">
              <w:rPr>
                <w:rFonts w:asciiTheme="minorHAnsi" w:hAnsiTheme="minorHAnsi" w:cstheme="minorHAnsi" w:hint="cs"/>
                <w:i w:val="0"/>
                <w:iCs w:val="0"/>
              </w:rPr>
              <w:t>nautical mile for a voyage or specific time period. It can either be calculated from fuel consumption measurements and information on cargo carried and distance travelled or estimated using satellite tracking data and fleet technical specifications. EEOI therefore accounts for the real operating conditions of the vessel and their impact on fuel consumption (e.g., speed, weather, draught)</w:t>
            </w:r>
            <w:r w:rsidRPr="00E00DF5">
              <w:rPr>
                <w:rFonts w:asciiTheme="minorHAnsi" w:hAnsiTheme="minorHAnsi" w:cstheme="minorHAnsi"/>
                <w:i w:val="0"/>
                <w:iCs w:val="0"/>
              </w:rPr>
              <w:t>.</w:t>
            </w:r>
          </w:p>
        </w:tc>
      </w:tr>
    </w:tbl>
    <w:p w14:paraId="0C318AE9" w14:textId="221D5B18" w:rsidR="00553EF0" w:rsidRDefault="00553EF0" w:rsidP="009205FE"/>
    <w:p w14:paraId="5B3C7126" w14:textId="77777777" w:rsidR="009A12BC" w:rsidRDefault="009A12BC" w:rsidP="009205FE"/>
    <w:p w14:paraId="7B8BC2D4" w14:textId="407924A7" w:rsidR="00222A5E" w:rsidRPr="00222A5E" w:rsidRDefault="00222A5E" w:rsidP="00222A5E">
      <w:pPr>
        <w:pStyle w:val="Heading1"/>
        <w:numPr>
          <w:ilvl w:val="0"/>
          <w:numId w:val="18"/>
        </w:numPr>
      </w:pPr>
      <w:bookmarkStart w:id="5" w:name="_Toc37692161"/>
      <w:r w:rsidRPr="00222A5E">
        <w:lastRenderedPageBreak/>
        <w:t>Managed Reduction Plans</w:t>
      </w:r>
      <w:bookmarkEnd w:id="5"/>
      <w:r w:rsidRPr="00222A5E">
        <w:t xml:space="preserve"> </w:t>
      </w:r>
    </w:p>
    <w:p w14:paraId="0DEAC951" w14:textId="77777777" w:rsidR="00222A5E" w:rsidRDefault="00222A5E" w:rsidP="000862CA">
      <w:pPr>
        <w:pStyle w:val="Normal1"/>
        <w:rPr>
          <w:rFonts w:asciiTheme="minorHAnsi" w:eastAsiaTheme="minorHAnsi" w:hAnsiTheme="minorHAnsi" w:cstheme="minorHAnsi"/>
          <w:i w:val="0"/>
          <w:iCs w:val="0"/>
          <w:sz w:val="24"/>
          <w:szCs w:val="24"/>
          <w:lang w:eastAsia="en-US"/>
        </w:rPr>
      </w:pPr>
    </w:p>
    <w:p w14:paraId="02C61FFC" w14:textId="44CD325A" w:rsidR="005A05C2" w:rsidRDefault="005A05C2" w:rsidP="000862CA">
      <w:pPr>
        <w:pStyle w:val="Normal1"/>
        <w:rPr>
          <w:i w:val="0"/>
          <w:iCs w:val="0"/>
        </w:rPr>
      </w:pPr>
      <w:r>
        <w:rPr>
          <w:rFonts w:asciiTheme="minorHAnsi" w:eastAsiaTheme="minorHAnsi" w:hAnsiTheme="minorHAnsi" w:cstheme="minorHAnsi"/>
          <w:i w:val="0"/>
          <w:iCs w:val="0"/>
          <w:sz w:val="24"/>
          <w:szCs w:val="24"/>
          <w:lang w:eastAsia="en-US"/>
        </w:rPr>
        <w:t>For</w:t>
      </w:r>
      <w:r w:rsidR="00EA2628" w:rsidRPr="000862CA">
        <w:rPr>
          <w:rFonts w:asciiTheme="minorHAnsi" w:eastAsiaTheme="minorHAnsi" w:hAnsiTheme="minorHAnsi" w:cstheme="minorHAnsi"/>
          <w:i w:val="0"/>
          <w:iCs w:val="0"/>
          <w:sz w:val="24"/>
          <w:szCs w:val="24"/>
          <w:lang w:eastAsia="en-US"/>
        </w:rPr>
        <w:t xml:space="preserve"> any vessel that </w:t>
      </w:r>
      <w:r>
        <w:rPr>
          <w:rFonts w:asciiTheme="minorHAnsi" w:eastAsiaTheme="minorHAnsi" w:hAnsiTheme="minorHAnsi" w:cstheme="minorHAnsi"/>
          <w:i w:val="0"/>
          <w:iCs w:val="0"/>
          <w:sz w:val="24"/>
          <w:szCs w:val="24"/>
          <w:lang w:eastAsia="en-US"/>
        </w:rPr>
        <w:t>will not reach</w:t>
      </w:r>
      <w:r w:rsidR="00EA2628" w:rsidRPr="000862CA">
        <w:rPr>
          <w:rFonts w:asciiTheme="minorHAnsi" w:eastAsiaTheme="minorHAnsi" w:hAnsiTheme="minorHAnsi" w:cstheme="minorHAnsi"/>
          <w:i w:val="0"/>
          <w:iCs w:val="0"/>
          <w:sz w:val="24"/>
          <w:szCs w:val="24"/>
          <w:lang w:eastAsia="en-US"/>
        </w:rPr>
        <w:t xml:space="preserve"> zero-emissions before the bond matures and is expected to have an economic life beyond the period of the bond, the issuer is required to submit a </w:t>
      </w:r>
      <w:r w:rsidR="003626B3">
        <w:rPr>
          <w:rFonts w:asciiTheme="minorHAnsi" w:eastAsiaTheme="minorHAnsi" w:hAnsiTheme="minorHAnsi" w:cstheme="minorHAnsi"/>
          <w:i w:val="0"/>
          <w:iCs w:val="0"/>
          <w:sz w:val="24"/>
          <w:szCs w:val="24"/>
          <w:lang w:eastAsia="en-US"/>
        </w:rPr>
        <w:t>M</w:t>
      </w:r>
      <w:r w:rsidR="00EA2628" w:rsidRPr="000862CA">
        <w:rPr>
          <w:rFonts w:asciiTheme="minorHAnsi" w:eastAsiaTheme="minorHAnsi" w:hAnsiTheme="minorHAnsi" w:cstheme="minorHAnsi" w:hint="cs"/>
          <w:i w:val="0"/>
          <w:iCs w:val="0"/>
          <w:sz w:val="24"/>
          <w:szCs w:val="24"/>
          <w:lang w:eastAsia="en-US"/>
        </w:rPr>
        <w:t xml:space="preserve">anaged </w:t>
      </w:r>
      <w:r>
        <w:rPr>
          <w:rFonts w:asciiTheme="minorHAnsi" w:eastAsiaTheme="minorHAnsi" w:hAnsiTheme="minorHAnsi" w:cstheme="minorHAnsi"/>
          <w:i w:val="0"/>
          <w:iCs w:val="0"/>
          <w:sz w:val="24"/>
          <w:szCs w:val="24"/>
          <w:lang w:eastAsia="en-US"/>
        </w:rPr>
        <w:t xml:space="preserve">Reduction </w:t>
      </w:r>
      <w:r w:rsidR="00EA2628" w:rsidRPr="000862CA">
        <w:rPr>
          <w:rFonts w:asciiTheme="minorHAnsi" w:eastAsiaTheme="minorHAnsi" w:hAnsiTheme="minorHAnsi" w:cstheme="minorHAnsi"/>
          <w:i w:val="0"/>
          <w:iCs w:val="0"/>
          <w:sz w:val="24"/>
          <w:szCs w:val="24"/>
          <w:lang w:eastAsia="en-US"/>
        </w:rPr>
        <w:t>P</w:t>
      </w:r>
      <w:r w:rsidR="00EA2628" w:rsidRPr="000862CA">
        <w:rPr>
          <w:rFonts w:asciiTheme="minorHAnsi" w:eastAsiaTheme="minorHAnsi" w:hAnsiTheme="minorHAnsi" w:cstheme="minorHAnsi" w:hint="cs"/>
          <w:i w:val="0"/>
          <w:iCs w:val="0"/>
          <w:sz w:val="24"/>
          <w:szCs w:val="24"/>
          <w:lang w:eastAsia="en-US"/>
        </w:rPr>
        <w:t>lan</w:t>
      </w:r>
      <w:r w:rsidR="003626B3">
        <w:rPr>
          <w:rFonts w:asciiTheme="minorHAnsi" w:eastAsiaTheme="minorHAnsi" w:hAnsiTheme="minorHAnsi" w:cstheme="minorHAnsi"/>
          <w:i w:val="0"/>
          <w:iCs w:val="0"/>
          <w:sz w:val="24"/>
          <w:szCs w:val="24"/>
          <w:lang w:eastAsia="en-US"/>
        </w:rPr>
        <w:t xml:space="preserve"> (MRP)</w:t>
      </w:r>
      <w:r w:rsidR="00EA2628" w:rsidRPr="000862CA">
        <w:rPr>
          <w:rFonts w:asciiTheme="minorHAnsi" w:eastAsiaTheme="minorHAnsi" w:hAnsiTheme="minorHAnsi" w:cstheme="minorHAnsi" w:hint="cs"/>
          <w:i w:val="0"/>
          <w:iCs w:val="0"/>
          <w:sz w:val="24"/>
          <w:szCs w:val="24"/>
          <w:lang w:eastAsia="en-US"/>
        </w:rPr>
        <w:t xml:space="preserve"> tha</w:t>
      </w:r>
      <w:r w:rsidR="00EA2628" w:rsidRPr="000862CA">
        <w:rPr>
          <w:rFonts w:asciiTheme="minorHAnsi" w:eastAsiaTheme="minorHAnsi" w:hAnsiTheme="minorHAnsi" w:cstheme="minorHAnsi"/>
          <w:i w:val="0"/>
          <w:iCs w:val="0"/>
          <w:sz w:val="24"/>
          <w:szCs w:val="24"/>
          <w:lang w:eastAsia="en-US"/>
        </w:rPr>
        <w:t>t</w:t>
      </w:r>
      <w:r w:rsidR="000862CA" w:rsidRPr="000862CA">
        <w:rPr>
          <w:rFonts w:asciiTheme="minorHAnsi" w:eastAsiaTheme="minorHAnsi" w:hAnsiTheme="minorHAnsi" w:cstheme="minorHAnsi"/>
          <w:i w:val="0"/>
          <w:iCs w:val="0"/>
          <w:sz w:val="24"/>
          <w:szCs w:val="24"/>
          <w:lang w:eastAsia="en-US"/>
        </w:rPr>
        <w:t xml:space="preserve"> o</w:t>
      </w:r>
      <w:r w:rsidR="00EA2628" w:rsidRPr="000862CA">
        <w:rPr>
          <w:rFonts w:asciiTheme="minorHAnsi" w:eastAsiaTheme="minorHAnsi" w:hAnsiTheme="minorHAnsi" w:cstheme="minorHAnsi"/>
          <w:i w:val="0"/>
          <w:iCs w:val="0"/>
          <w:sz w:val="24"/>
          <w:szCs w:val="24"/>
          <w:lang w:eastAsia="en-US"/>
        </w:rPr>
        <w:t>utlines the</w:t>
      </w:r>
      <w:r w:rsidR="00EA2628" w:rsidRPr="000862CA">
        <w:rPr>
          <w:rFonts w:asciiTheme="minorHAnsi" w:eastAsiaTheme="minorHAnsi" w:hAnsiTheme="minorHAnsi" w:cstheme="minorHAnsi" w:hint="cs"/>
          <w:i w:val="0"/>
          <w:iCs w:val="0"/>
          <w:sz w:val="24"/>
          <w:szCs w:val="24"/>
          <w:lang w:eastAsia="en-US"/>
        </w:rPr>
        <w:t xml:space="preserve"> retrofit technologies or a fuel switch</w:t>
      </w:r>
      <w:r w:rsidR="00EA2628" w:rsidRPr="000862CA">
        <w:rPr>
          <w:rFonts w:asciiTheme="minorHAnsi" w:eastAsiaTheme="minorHAnsi" w:hAnsiTheme="minorHAnsi" w:cstheme="minorHAnsi"/>
          <w:i w:val="0"/>
          <w:iCs w:val="0"/>
          <w:sz w:val="24"/>
          <w:szCs w:val="24"/>
          <w:lang w:eastAsia="en-US"/>
        </w:rPr>
        <w:t xml:space="preserve"> option that the vessel will be able to take in order to remain compliant with the trajectory, and </w:t>
      </w:r>
      <w:r w:rsidR="000862CA" w:rsidRPr="000862CA">
        <w:rPr>
          <w:rFonts w:asciiTheme="minorHAnsi" w:eastAsiaTheme="minorHAnsi" w:hAnsiTheme="minorHAnsi" w:cstheme="minorHAnsi"/>
          <w:i w:val="0"/>
          <w:iCs w:val="0"/>
          <w:sz w:val="24"/>
          <w:szCs w:val="24"/>
          <w:lang w:eastAsia="en-US"/>
        </w:rPr>
        <w:t>e</w:t>
      </w:r>
      <w:r w:rsidR="00EA2628" w:rsidRPr="000862CA">
        <w:rPr>
          <w:rFonts w:asciiTheme="minorHAnsi" w:eastAsiaTheme="minorHAnsi" w:hAnsiTheme="minorHAnsi" w:cstheme="minorHAnsi"/>
          <w:i w:val="0"/>
          <w:iCs w:val="0"/>
          <w:sz w:val="24"/>
          <w:szCs w:val="24"/>
          <w:lang w:eastAsia="en-US"/>
        </w:rPr>
        <w:t>xplain</w:t>
      </w:r>
      <w:r w:rsidR="0095118E" w:rsidRPr="000862CA">
        <w:rPr>
          <w:rFonts w:asciiTheme="minorHAnsi" w:eastAsiaTheme="minorHAnsi" w:hAnsiTheme="minorHAnsi" w:cstheme="minorHAnsi"/>
          <w:i w:val="0"/>
          <w:iCs w:val="0"/>
          <w:sz w:val="24"/>
          <w:szCs w:val="24"/>
          <w:lang w:eastAsia="en-US"/>
        </w:rPr>
        <w:t>s</w:t>
      </w:r>
      <w:r w:rsidR="00EA2628" w:rsidRPr="000862CA">
        <w:rPr>
          <w:rFonts w:asciiTheme="minorHAnsi" w:eastAsiaTheme="minorHAnsi" w:hAnsiTheme="minorHAnsi" w:cstheme="minorHAnsi"/>
          <w:i w:val="0"/>
          <w:iCs w:val="0"/>
          <w:sz w:val="24"/>
          <w:szCs w:val="24"/>
          <w:lang w:eastAsia="en-US"/>
        </w:rPr>
        <w:t xml:space="preserve"> how these plans are cost-effective</w:t>
      </w:r>
      <w:r w:rsidR="00EA2628" w:rsidRPr="000862CA">
        <w:rPr>
          <w:i w:val="0"/>
          <w:iCs w:val="0"/>
        </w:rPr>
        <w:t>.</w:t>
      </w:r>
      <w:r w:rsidR="00721D0F" w:rsidRPr="000862CA">
        <w:rPr>
          <w:rStyle w:val="FootnoteReference"/>
          <w:i w:val="0"/>
          <w:iCs w:val="0"/>
        </w:rPr>
        <w:footnoteReference w:id="10"/>
      </w:r>
      <w:r w:rsidR="00EA2628" w:rsidRPr="000862CA">
        <w:rPr>
          <w:i w:val="0"/>
          <w:iCs w:val="0"/>
        </w:rPr>
        <w:t xml:space="preserve"> </w:t>
      </w:r>
    </w:p>
    <w:p w14:paraId="37AE9D0E" w14:textId="77777777" w:rsidR="005A05C2" w:rsidRDefault="005A05C2" w:rsidP="000862CA">
      <w:pPr>
        <w:pStyle w:val="Normal1"/>
        <w:rPr>
          <w:i w:val="0"/>
          <w:iCs w:val="0"/>
        </w:rPr>
      </w:pPr>
    </w:p>
    <w:p w14:paraId="72C7BEFF" w14:textId="2DC21B2E" w:rsidR="00EA2628" w:rsidRPr="00222A5E" w:rsidRDefault="00EA2628" w:rsidP="00222A5E">
      <w:pPr>
        <w:pStyle w:val="Normal1"/>
        <w:rPr>
          <w:rFonts w:asciiTheme="minorHAnsi" w:eastAsiaTheme="minorHAnsi" w:hAnsiTheme="minorHAnsi" w:cstheme="minorHAnsi"/>
          <w:i w:val="0"/>
          <w:iCs w:val="0"/>
          <w:sz w:val="24"/>
          <w:szCs w:val="24"/>
          <w:lang w:eastAsia="en-US"/>
        </w:rPr>
      </w:pPr>
      <w:r w:rsidRPr="000862CA">
        <w:rPr>
          <w:i w:val="0"/>
          <w:iCs w:val="0"/>
        </w:rPr>
        <w:t>T</w:t>
      </w:r>
      <w:r w:rsidRPr="000862CA">
        <w:rPr>
          <w:rFonts w:asciiTheme="minorHAnsi" w:eastAsiaTheme="minorHAnsi" w:hAnsiTheme="minorHAnsi" w:cstheme="minorHAnsi"/>
          <w:i w:val="0"/>
          <w:iCs w:val="0"/>
          <w:sz w:val="24"/>
          <w:szCs w:val="24"/>
          <w:lang w:eastAsia="en-US"/>
        </w:rPr>
        <w:t>he technology options that are described by the issuer will be competitive solutions that take into account costs and technical feasibility. While there is no requirement to assess and prove this feasibility, there is a minimum requirement for the plan to include specific costing informatio</w:t>
      </w:r>
      <w:r w:rsidR="00721D0F" w:rsidRPr="000862CA">
        <w:rPr>
          <w:rFonts w:asciiTheme="minorHAnsi" w:eastAsiaTheme="minorHAnsi" w:hAnsiTheme="minorHAnsi" w:cstheme="minorHAnsi"/>
          <w:i w:val="0"/>
          <w:iCs w:val="0"/>
          <w:sz w:val="24"/>
          <w:szCs w:val="24"/>
          <w:lang w:eastAsia="en-US"/>
        </w:rPr>
        <w:t>n</w:t>
      </w:r>
      <w:r w:rsidR="00222A5E">
        <w:rPr>
          <w:rFonts w:asciiTheme="minorHAnsi" w:eastAsiaTheme="minorHAnsi" w:hAnsiTheme="minorHAnsi" w:cstheme="minorHAnsi"/>
          <w:i w:val="0"/>
          <w:iCs w:val="0"/>
          <w:sz w:val="24"/>
          <w:szCs w:val="24"/>
          <w:lang w:eastAsia="en-US"/>
        </w:rPr>
        <w:t>. For</w:t>
      </w:r>
      <w:r w:rsidRPr="00222A5E">
        <w:rPr>
          <w:rFonts w:asciiTheme="minorHAnsi" w:eastAsiaTheme="minorHAnsi" w:hAnsiTheme="minorHAnsi" w:cstheme="minorHAnsi"/>
          <w:i w:val="0"/>
          <w:iCs w:val="0"/>
          <w:sz w:val="24"/>
          <w:szCs w:val="24"/>
          <w:lang w:eastAsia="en-US"/>
        </w:rPr>
        <w:t xml:space="preserve"> example, a fossil-fuelled ship built in 2025, may plan to undertake a refit after 5 years of operation at which additional fuel storage (for non-fossil fuel) is installed and an engine conversion undertaken. Efforts taken at design/build can ensure that space for the tanks and access to machinery can minimise the cost of that refit, such that the ship can be competitive against newbuild ships entering the fleet in 2030 and operating on non-fossil fuel.  </w:t>
      </w:r>
    </w:p>
    <w:p w14:paraId="1205339B" w14:textId="77777777" w:rsidR="00721D0F" w:rsidRDefault="00721D0F" w:rsidP="00721D0F"/>
    <w:p w14:paraId="5A766D2A" w14:textId="5CB41E54" w:rsidR="00EA2628" w:rsidRDefault="00A11BDF" w:rsidP="009205FE">
      <w:r w:rsidRPr="00721D0F">
        <w:t xml:space="preserve">This reduction plan can rely on future technologies/fuels that are not available today but are expected to become available and cost-effective in the future, in time for the continued compliance with the decarbonisation trajectory. </w:t>
      </w:r>
      <w:r w:rsidRPr="003626B3">
        <w:rPr>
          <w:b/>
          <w:bCs/>
        </w:rPr>
        <w:t xml:space="preserve">The list of candidate fuels for use in the </w:t>
      </w:r>
      <w:r w:rsidR="003626B3" w:rsidRPr="003626B3">
        <w:rPr>
          <w:b/>
          <w:bCs/>
        </w:rPr>
        <w:t>MRP</w:t>
      </w:r>
      <w:r w:rsidRPr="003626B3">
        <w:rPr>
          <w:b/>
          <w:bCs/>
        </w:rPr>
        <w:t xml:space="preserve"> will be regularly reviewed, but initially includes</w:t>
      </w:r>
      <w:r w:rsidR="00DF1C7E" w:rsidRPr="003626B3">
        <w:rPr>
          <w:b/>
          <w:bCs/>
        </w:rPr>
        <w:t>:</w:t>
      </w:r>
      <w:r w:rsidR="005A05C2" w:rsidRPr="003626B3">
        <w:rPr>
          <w:b/>
          <w:bCs/>
        </w:rPr>
        <w:t xml:space="preserve"> Electric, Hydrogen, Methanol (from bio or synthetic feedstock), Nuclear, Wind or Advanced Biofuels.</w:t>
      </w:r>
      <w:r w:rsidR="005A05C2" w:rsidRPr="003626B3">
        <w:rPr>
          <w:rStyle w:val="FootnoteReference"/>
          <w:b/>
          <w:bCs/>
        </w:rPr>
        <w:footnoteReference w:id="11"/>
      </w:r>
      <w:r w:rsidR="005A05C2" w:rsidRPr="003626B3">
        <w:rPr>
          <w:b/>
          <w:bCs/>
        </w:rPr>
        <w:t xml:space="preserve"> </w:t>
      </w:r>
    </w:p>
    <w:p w14:paraId="5F8331A2" w14:textId="77777777" w:rsidR="00721D0F" w:rsidRDefault="00721D0F" w:rsidP="009205FE"/>
    <w:p w14:paraId="5B81AC56" w14:textId="22BA9D4B" w:rsidR="00EA2628" w:rsidRPr="00182943" w:rsidRDefault="00EA2628" w:rsidP="009205FE">
      <w:pPr>
        <w:rPr>
          <w:b/>
          <w:bCs/>
        </w:rPr>
      </w:pPr>
      <w:r w:rsidRPr="00182943">
        <w:rPr>
          <w:b/>
          <w:bCs/>
        </w:rPr>
        <w:t>The costed reduction plan should include as a minimum the following details:</w:t>
      </w:r>
    </w:p>
    <w:p w14:paraId="18BD4752" w14:textId="77777777" w:rsidR="00EA2628" w:rsidRPr="005A05C2" w:rsidRDefault="00EA2628" w:rsidP="005A05C2">
      <w:pPr>
        <w:pStyle w:val="ListParagraph"/>
        <w:numPr>
          <w:ilvl w:val="0"/>
          <w:numId w:val="33"/>
        </w:numPr>
        <w:rPr>
          <w:rFonts w:cstheme="minorHAnsi"/>
          <w:color w:val="auto"/>
          <w:sz w:val="24"/>
          <w:szCs w:val="24"/>
          <w:bdr w:val="none" w:sz="0" w:space="0" w:color="auto"/>
          <w:lang w:eastAsia="zh-CN"/>
        </w:rPr>
      </w:pPr>
      <w:r w:rsidRPr="005A05C2">
        <w:rPr>
          <w:rFonts w:cstheme="minorHAnsi"/>
          <w:color w:val="auto"/>
          <w:sz w:val="24"/>
          <w:szCs w:val="24"/>
          <w:bdr w:val="none" w:sz="0" w:space="0" w:color="auto"/>
          <w:lang w:eastAsia="zh-CN"/>
        </w:rPr>
        <w:t>The time period (e.g. range of years) at which a significant fuel switch is expected to be necessary</w:t>
      </w:r>
    </w:p>
    <w:p w14:paraId="3065D3BB" w14:textId="77777777" w:rsidR="00EA2628" w:rsidRPr="005A05C2" w:rsidRDefault="00EA2628" w:rsidP="005A05C2">
      <w:pPr>
        <w:pStyle w:val="ListParagraph"/>
        <w:numPr>
          <w:ilvl w:val="0"/>
          <w:numId w:val="33"/>
        </w:numPr>
        <w:rPr>
          <w:rFonts w:cstheme="minorHAnsi"/>
          <w:color w:val="auto"/>
          <w:sz w:val="24"/>
          <w:szCs w:val="24"/>
          <w:bdr w:val="none" w:sz="0" w:space="0" w:color="auto"/>
          <w:lang w:eastAsia="zh-CN"/>
        </w:rPr>
      </w:pPr>
      <w:r w:rsidRPr="005A05C2">
        <w:rPr>
          <w:rFonts w:cstheme="minorHAnsi"/>
          <w:color w:val="auto"/>
          <w:sz w:val="24"/>
          <w:szCs w:val="24"/>
          <w:bdr w:val="none" w:sz="0" w:space="0" w:color="auto"/>
          <w:lang w:eastAsia="zh-CN"/>
        </w:rPr>
        <w:t>Any modifications required to fuel storage systems onboard (including any additional space required and how this modified cargo carrying capacity)</w:t>
      </w:r>
    </w:p>
    <w:p w14:paraId="4D787696" w14:textId="77777777" w:rsidR="00EA2628" w:rsidRPr="005A05C2" w:rsidRDefault="00EA2628" w:rsidP="005A05C2">
      <w:pPr>
        <w:pStyle w:val="ListParagraph"/>
        <w:numPr>
          <w:ilvl w:val="0"/>
          <w:numId w:val="33"/>
        </w:numPr>
        <w:rPr>
          <w:rFonts w:cstheme="minorHAnsi"/>
          <w:color w:val="auto"/>
          <w:sz w:val="24"/>
          <w:szCs w:val="24"/>
          <w:bdr w:val="none" w:sz="0" w:space="0" w:color="auto"/>
          <w:lang w:eastAsia="zh-CN"/>
        </w:rPr>
      </w:pPr>
      <w:r w:rsidRPr="005A05C2">
        <w:rPr>
          <w:rFonts w:cstheme="minorHAnsi"/>
          <w:color w:val="auto"/>
          <w:sz w:val="24"/>
          <w:szCs w:val="24"/>
          <w:bdr w:val="none" w:sz="0" w:space="0" w:color="auto"/>
          <w:lang w:eastAsia="zh-CN"/>
        </w:rPr>
        <w:t>Any modifications required to fuel handling systems (including bunkering systems)</w:t>
      </w:r>
    </w:p>
    <w:p w14:paraId="216A478A" w14:textId="77777777" w:rsidR="00EA2628" w:rsidRPr="005A05C2" w:rsidRDefault="00EA2628" w:rsidP="005A05C2">
      <w:pPr>
        <w:pStyle w:val="ListParagraph"/>
        <w:numPr>
          <w:ilvl w:val="0"/>
          <w:numId w:val="33"/>
        </w:numPr>
        <w:rPr>
          <w:rFonts w:cstheme="minorHAnsi"/>
          <w:color w:val="auto"/>
          <w:sz w:val="24"/>
          <w:szCs w:val="24"/>
          <w:bdr w:val="none" w:sz="0" w:space="0" w:color="auto"/>
          <w:lang w:eastAsia="zh-CN"/>
        </w:rPr>
      </w:pPr>
      <w:r w:rsidRPr="005A05C2">
        <w:rPr>
          <w:rFonts w:cstheme="minorHAnsi"/>
          <w:color w:val="auto"/>
          <w:sz w:val="24"/>
          <w:szCs w:val="24"/>
          <w:bdr w:val="none" w:sz="0" w:space="0" w:color="auto"/>
          <w:lang w:eastAsia="zh-CN"/>
        </w:rPr>
        <w:t>Any modifications required to machinery</w:t>
      </w:r>
    </w:p>
    <w:p w14:paraId="1F401607" w14:textId="210BC002" w:rsidR="00C735AA" w:rsidRDefault="00EA2628" w:rsidP="005A05C2">
      <w:pPr>
        <w:pStyle w:val="ListParagraph"/>
        <w:numPr>
          <w:ilvl w:val="0"/>
          <w:numId w:val="33"/>
        </w:numPr>
        <w:rPr>
          <w:rFonts w:cstheme="minorHAnsi"/>
          <w:color w:val="auto"/>
          <w:sz w:val="24"/>
          <w:szCs w:val="24"/>
          <w:bdr w:val="none" w:sz="0" w:space="0" w:color="auto"/>
          <w:lang w:eastAsia="zh-CN"/>
        </w:rPr>
      </w:pPr>
      <w:r w:rsidRPr="005A05C2">
        <w:rPr>
          <w:rFonts w:cstheme="minorHAnsi"/>
          <w:color w:val="auto"/>
          <w:sz w:val="24"/>
          <w:szCs w:val="24"/>
          <w:bdr w:val="none" w:sz="0" w:space="0" w:color="auto"/>
          <w:lang w:eastAsia="zh-CN"/>
        </w:rPr>
        <w:t>The estimated total additional cost (including both estimated operating costs and capital costs)</w:t>
      </w:r>
    </w:p>
    <w:p w14:paraId="5AD1BEB4" w14:textId="183B7B36" w:rsidR="00AD54BC" w:rsidRDefault="00AD54BC" w:rsidP="00AD54BC">
      <w:pPr>
        <w:rPr>
          <w:lang w:eastAsia="zh-CN"/>
        </w:rPr>
      </w:pPr>
    </w:p>
    <w:p w14:paraId="6063656E" w14:textId="61268D58" w:rsidR="00AD54BC" w:rsidRPr="00AD54BC" w:rsidRDefault="00AD54BC" w:rsidP="002926D5">
      <w:pPr>
        <w:rPr>
          <w:lang w:eastAsia="zh-CN"/>
        </w:rPr>
      </w:pPr>
      <w:r>
        <w:t xml:space="preserve">At present, there is no evidence that synthetic hydrocarbons will become economically competitive and available at sufficient volumes, so they are not considered eligible for use in a reduction plan. </w:t>
      </w:r>
      <w:r w:rsidRPr="00211F54">
        <w:t xml:space="preserve">In an exceptional circumstance, a project may be specified where the particular geography of operation (e.g. a ship limited to operate in a given sea area where there is a local supply of a sustainable waste product that has value as a fuel) make a fuel outside of this list competitive in terms of sustainable supply (over the period of the ship’s economic life). In this circumstance, the bond issuer can </w:t>
      </w:r>
      <w:r>
        <w:t>propose</w:t>
      </w:r>
      <w:r w:rsidRPr="00211F54">
        <w:t xml:space="preserve"> justifying an exception to the listed fuels.</w:t>
      </w:r>
      <w:r>
        <w:t xml:space="preserve"> Issuers citing Advanced Bioenergy in an MRP are </w:t>
      </w:r>
      <w:r w:rsidR="00FC1EE0">
        <w:t>encouraged</w:t>
      </w:r>
      <w:r>
        <w:t xml:space="preserve"> to provide certification of origin for the fuel procured.</w:t>
      </w:r>
      <w:r w:rsidR="00FC1EE0">
        <w:t xml:space="preserve"> </w:t>
      </w:r>
    </w:p>
    <w:p w14:paraId="4165B997" w14:textId="1CF87419" w:rsidR="00AF0D81" w:rsidRPr="00AF0D81" w:rsidRDefault="00AF0D81" w:rsidP="00E00DF5">
      <w:pPr>
        <w:pStyle w:val="Heading1"/>
        <w:numPr>
          <w:ilvl w:val="0"/>
          <w:numId w:val="18"/>
        </w:numPr>
      </w:pPr>
      <w:bookmarkStart w:id="6" w:name="_Toc37692162"/>
      <w:r>
        <w:lastRenderedPageBreak/>
        <w:t>Disclosure</w:t>
      </w:r>
      <w:bookmarkEnd w:id="6"/>
      <w:r>
        <w:t xml:space="preserve"> </w:t>
      </w:r>
    </w:p>
    <w:p w14:paraId="309C4F0C" w14:textId="77777777" w:rsidR="00E00DF5" w:rsidRDefault="00E00DF5" w:rsidP="009205FE"/>
    <w:p w14:paraId="2DA76BF8" w14:textId="5B9CFCD5" w:rsidR="00D107A5" w:rsidRDefault="00A351E5" w:rsidP="009205FE">
      <w:r>
        <w:t xml:space="preserve">All issuers of </w:t>
      </w:r>
      <w:r w:rsidR="00B97C0A" w:rsidRPr="00EE3AEB">
        <w:rPr>
          <w:rFonts w:hint="cs"/>
        </w:rPr>
        <w:t>certified bond</w:t>
      </w:r>
      <w:r>
        <w:t>s</w:t>
      </w:r>
      <w:r w:rsidR="00B97C0A" w:rsidRPr="00EE3AEB">
        <w:rPr>
          <w:rFonts w:hint="cs"/>
        </w:rPr>
        <w:t xml:space="preserve"> </w:t>
      </w:r>
      <w:r>
        <w:t>must</w:t>
      </w:r>
      <w:r w:rsidR="00B97C0A" w:rsidRPr="00EE3AEB">
        <w:rPr>
          <w:rFonts w:hint="cs"/>
        </w:rPr>
        <w:t xml:space="preserve"> report </w:t>
      </w:r>
      <w:r w:rsidR="00E75289">
        <w:t xml:space="preserve">to the Climate Bonds Initiative </w:t>
      </w:r>
      <w:r w:rsidR="00B97C0A" w:rsidRPr="00EE3AEB">
        <w:rPr>
          <w:rFonts w:hint="cs"/>
        </w:rPr>
        <w:t xml:space="preserve">annually to confirm that assets remain in compliance. </w:t>
      </w:r>
      <w:r w:rsidR="00E75289">
        <w:t xml:space="preserve">Specifically, issuers </w:t>
      </w:r>
      <w:r w:rsidR="005A16DF">
        <w:t>are</w:t>
      </w:r>
      <w:r w:rsidR="008A53AB" w:rsidRPr="00D11902">
        <w:t xml:space="preserve"> required to </w:t>
      </w:r>
      <w:r w:rsidR="008A53AB">
        <w:t xml:space="preserve">submit information </w:t>
      </w:r>
      <w:r w:rsidR="008A53AB" w:rsidRPr="00D11902">
        <w:t>report</w:t>
      </w:r>
      <w:r w:rsidR="008A53AB">
        <w:t>ed</w:t>
      </w:r>
      <w:r w:rsidR="008A53AB" w:rsidRPr="00D11902">
        <w:t xml:space="preserve"> </w:t>
      </w:r>
      <w:r w:rsidR="008A53AB">
        <w:t xml:space="preserve">on an annual </w:t>
      </w:r>
      <w:r w:rsidR="008A53AB" w:rsidRPr="00D11902">
        <w:t>basis</w:t>
      </w:r>
      <w:r w:rsidR="008A53AB">
        <w:t xml:space="preserve"> of their achieved EEOI or AER, alongside </w:t>
      </w:r>
      <w:r w:rsidR="00F914FB">
        <w:t>documentation</w:t>
      </w:r>
      <w:r w:rsidR="008A53AB">
        <w:t xml:space="preserve"> that the data</w:t>
      </w:r>
      <w:r w:rsidR="005A16DF">
        <w:t xml:space="preserve"> has been</w:t>
      </w:r>
      <w:r w:rsidR="008A53AB">
        <w:t xml:space="preserve"> submitted and verified for EU/IMO purposes</w:t>
      </w:r>
      <w:r w:rsidR="00D107A5">
        <w:t xml:space="preserve"> through the EU MRV or IMO DCS system</w:t>
      </w:r>
      <w:r w:rsidR="00D81811">
        <w:t>s</w:t>
      </w:r>
      <w:r w:rsidR="008A53AB" w:rsidRPr="00D11902">
        <w:t xml:space="preserve">. </w:t>
      </w:r>
    </w:p>
    <w:p w14:paraId="2BDBCF10" w14:textId="77777777" w:rsidR="00D107A5" w:rsidRDefault="00D107A5" w:rsidP="009205FE"/>
    <w:p w14:paraId="672A41DE" w14:textId="4BD189F1" w:rsidR="002C3257" w:rsidRPr="00D11902" w:rsidRDefault="00D107A5" w:rsidP="009205FE">
      <w:r w:rsidRPr="00EE3AEB">
        <w:rPr>
          <w:rFonts w:hint="cs"/>
        </w:rPr>
        <w:t>The use of such pre-existing systems also ensures that no additional data collection burden should be required.</w:t>
      </w:r>
      <w:r>
        <w:t xml:space="preserve"> However, i</w:t>
      </w:r>
      <w:r w:rsidR="002C3257">
        <w:t xml:space="preserve">f issuers decide to use EEOI, but do not meet the 100% operating EU operating condition, an independent verification of their data is required. </w:t>
      </w:r>
      <w:r w:rsidR="002C3257" w:rsidRPr="00D11902">
        <w:t>The EU MRV Regulation requires mandatory third</w:t>
      </w:r>
      <w:r w:rsidR="002C3257">
        <w:t>-</w:t>
      </w:r>
      <w:r w:rsidR="002C3257" w:rsidRPr="00D11902">
        <w:t>party verification in order to ensure the accuracy of the data submitted. It uses a specific verification system based on internationally agreed ISO standards and EU specific verification rules.</w:t>
      </w:r>
      <w:r w:rsidR="002C3257">
        <w:t xml:space="preserve"> </w:t>
      </w:r>
    </w:p>
    <w:p w14:paraId="5B2DBD96" w14:textId="77777777" w:rsidR="002C3257" w:rsidRDefault="002C3257" w:rsidP="009205FE"/>
    <w:p w14:paraId="231AB00E" w14:textId="24C96B3F" w:rsidR="005A16DF" w:rsidRDefault="002C3257" w:rsidP="009205FE">
      <w:r w:rsidRPr="00D11902">
        <w:t xml:space="preserve">In the IMO DCS there is no specific verification system for this data collection. Instead, </w:t>
      </w:r>
      <w:r w:rsidR="005A16DF">
        <w:t>F</w:t>
      </w:r>
      <w:r w:rsidRPr="00D11902">
        <w:t xml:space="preserve">lag Administrations shall verify the data according to national rules, taking into account IMO guidelines. Flag States can outsource those tasks to “Recognised Organizations” (RO), subject to verifications and audits under the RO Code. However, ROs do not need to be accredited by National Accreditation Bodies. Note that, in accordance with the EU legislation, EU MS </w:t>
      </w:r>
      <w:r w:rsidR="00211F54">
        <w:t>can</w:t>
      </w:r>
      <w:r w:rsidR="004E5160">
        <w:t xml:space="preserve"> </w:t>
      </w:r>
      <w:r w:rsidRPr="00D11902">
        <w:t>only</w:t>
      </w:r>
      <w:r w:rsidR="004E5160">
        <w:t xml:space="preserve"> use</w:t>
      </w:r>
      <w:r w:rsidRPr="00D11902">
        <w:t xml:space="preserve"> EU recognised organisations in order to comply with their reporting obligations under IMO DCS.</w:t>
      </w:r>
    </w:p>
    <w:p w14:paraId="363E6B85" w14:textId="70327065" w:rsidR="005A16DF" w:rsidRDefault="005A16DF" w:rsidP="00E00DF5">
      <w:pPr>
        <w:pStyle w:val="Heading1"/>
        <w:numPr>
          <w:ilvl w:val="0"/>
          <w:numId w:val="18"/>
        </w:numPr>
      </w:pPr>
      <w:bookmarkStart w:id="7" w:name="_Toc37692163"/>
      <w:r>
        <w:t>Adaptation and Resilience</w:t>
      </w:r>
      <w:bookmarkEnd w:id="7"/>
    </w:p>
    <w:p w14:paraId="35AD0851" w14:textId="77777777" w:rsidR="00182943" w:rsidRDefault="00182943" w:rsidP="00E00DF5"/>
    <w:p w14:paraId="4C65B684" w14:textId="0E5A34EC" w:rsidR="00E00DF5" w:rsidRDefault="005A16DF" w:rsidP="00E00DF5">
      <w:r w:rsidRPr="00F914FB">
        <w:t xml:space="preserve">The </w:t>
      </w:r>
      <w:r w:rsidR="003626B3">
        <w:t xml:space="preserve">Shipping </w:t>
      </w:r>
      <w:r w:rsidRPr="00F914FB">
        <w:t xml:space="preserve">Criteria currently do not require bond issuers to provide evidence that </w:t>
      </w:r>
      <w:r w:rsidR="00E00DF5">
        <w:t xml:space="preserve">assets </w:t>
      </w:r>
      <w:r w:rsidR="00E75289">
        <w:t>are</w:t>
      </w:r>
      <w:r w:rsidR="000D2E60">
        <w:t xml:space="preserve"> </w:t>
      </w:r>
      <w:r w:rsidR="000D2E60" w:rsidRPr="000D2E60">
        <w:t>resilient to the impacts and risks associated with climate change</w:t>
      </w:r>
      <w:r w:rsidR="000D2E60">
        <w:t xml:space="preserve"> and</w:t>
      </w:r>
      <w:r w:rsidR="000D2E60" w:rsidRPr="000D2E60">
        <w:t xml:space="preserve"> </w:t>
      </w:r>
      <w:r w:rsidR="000D2E60">
        <w:t>w</w:t>
      </w:r>
      <w:r w:rsidR="000D2E60" w:rsidRPr="00F914FB">
        <w:t>ill not create harm to or compromise the wider system’s adaptive capacity and resilience to climate change</w:t>
      </w:r>
      <w:r w:rsidR="000D2E60">
        <w:t>. More information on this decision is available in the accompanying Background Document to the Shipping Criteria</w:t>
      </w:r>
      <w:r w:rsidR="000D2E60" w:rsidRPr="00F914FB">
        <w:t>.</w:t>
      </w:r>
      <w:r w:rsidRPr="00F914FB">
        <w:rPr>
          <w:rStyle w:val="FootnoteReference"/>
          <w:sz w:val="24"/>
        </w:rPr>
        <w:footnoteReference w:id="12"/>
      </w:r>
      <w:r w:rsidR="000D2E60">
        <w:t xml:space="preserve"> </w:t>
      </w:r>
      <w:r w:rsidR="003626B3">
        <w:t xml:space="preserve">Infrastructure that is dedicated to refuelling or recharging zero-emissions vessels is derogated from the adaptation and resilience criteria.  </w:t>
      </w:r>
    </w:p>
    <w:p w14:paraId="2E118985" w14:textId="07FB3D27" w:rsidR="005A16DF" w:rsidRDefault="005A16DF" w:rsidP="00E00DF5">
      <w:r>
        <w:br w:type="page"/>
      </w:r>
    </w:p>
    <w:p w14:paraId="391C223F" w14:textId="51E0C04F" w:rsidR="00C051ED" w:rsidRDefault="008E5903" w:rsidP="009205FE">
      <w:pPr>
        <w:pStyle w:val="Heading1"/>
      </w:pPr>
      <w:bookmarkStart w:id="8" w:name="_Toc37692164"/>
      <w:r w:rsidRPr="00231C8F">
        <w:lastRenderedPageBreak/>
        <w:t xml:space="preserve">Annex 1. EEOI/AER </w:t>
      </w:r>
      <w:r w:rsidR="00875AAF">
        <w:t>Decarbonisation Trajectories</w:t>
      </w:r>
      <w:bookmarkEnd w:id="8"/>
    </w:p>
    <w:p w14:paraId="4ED758B8" w14:textId="77777777" w:rsidR="00E00DF5" w:rsidRDefault="00E00DF5" w:rsidP="009205FE"/>
    <w:p w14:paraId="47E8C9C4" w14:textId="6770595F" w:rsidR="00D81811" w:rsidRDefault="0083254B" w:rsidP="009205FE">
      <w:r w:rsidRPr="0083254B">
        <w:t xml:space="preserve">The fleet type and size category median values </w:t>
      </w:r>
      <w:r w:rsidR="001B3319">
        <w:t xml:space="preserve">in </w:t>
      </w:r>
      <w:r w:rsidR="00C051ED">
        <w:t>EEOI and AER</w:t>
      </w:r>
      <w:r w:rsidR="001B3319">
        <w:t xml:space="preserve"> for each decade starting from 2020 to 2050</w:t>
      </w:r>
      <w:r w:rsidR="00C051ED">
        <w:t xml:space="preserve"> </w:t>
      </w:r>
      <w:r w:rsidRPr="0083254B">
        <w:t xml:space="preserve">are included in Table </w:t>
      </w:r>
      <w:r>
        <w:t>1 belo</w:t>
      </w:r>
      <w:r w:rsidR="001B3319">
        <w:t xml:space="preserve">w. </w:t>
      </w:r>
      <w:r w:rsidR="00E00DF5">
        <w:t xml:space="preserve"> </w:t>
      </w:r>
    </w:p>
    <w:p w14:paraId="037D242A" w14:textId="77777777" w:rsidR="00E00DF5" w:rsidRPr="000D2E60" w:rsidRDefault="00E00DF5" w:rsidP="009205FE"/>
    <w:tbl>
      <w:tblPr>
        <w:tblW w:w="87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654"/>
        <w:gridCol w:w="1417"/>
        <w:gridCol w:w="1418"/>
        <w:gridCol w:w="1418"/>
        <w:gridCol w:w="857"/>
      </w:tblGrid>
      <w:tr w:rsidR="003626B3" w:rsidRPr="00AB3073" w14:paraId="0AFDC1DC" w14:textId="77777777" w:rsidTr="003626B3">
        <w:trPr>
          <w:trHeight w:val="360"/>
        </w:trPr>
        <w:tc>
          <w:tcPr>
            <w:tcW w:w="2032" w:type="dxa"/>
            <w:shd w:val="clear" w:color="auto" w:fill="2F5496" w:themeFill="accent1" w:themeFillShade="BF"/>
            <w:noWrap/>
            <w:vAlign w:val="center"/>
          </w:tcPr>
          <w:p w14:paraId="0000E4E3" w14:textId="77777777" w:rsidR="00E516E6" w:rsidRPr="00DF1C7E" w:rsidRDefault="00E516E6" w:rsidP="00F44887">
            <w:pPr>
              <w:pStyle w:val="NoSpacing"/>
              <w:rPr>
                <w:rFonts w:cstheme="minorHAnsi"/>
                <w:b/>
                <w:bCs/>
                <w:color w:val="FFFFFF" w:themeColor="background1"/>
                <w:sz w:val="22"/>
                <w:szCs w:val="22"/>
                <w:lang w:eastAsia="en-GB"/>
              </w:rPr>
            </w:pPr>
            <w:r w:rsidRPr="00DF1C7E">
              <w:rPr>
                <w:rFonts w:cstheme="minorHAnsi"/>
                <w:b/>
                <w:bCs/>
                <w:color w:val="FFFFFF" w:themeColor="background1"/>
                <w:sz w:val="22"/>
                <w:szCs w:val="22"/>
                <w:lang w:eastAsia="en-GB"/>
              </w:rPr>
              <w:t>Type</w:t>
            </w:r>
          </w:p>
        </w:tc>
        <w:tc>
          <w:tcPr>
            <w:tcW w:w="1654" w:type="dxa"/>
            <w:shd w:val="clear" w:color="auto" w:fill="2F5496" w:themeFill="accent1" w:themeFillShade="BF"/>
            <w:noWrap/>
            <w:vAlign w:val="center"/>
          </w:tcPr>
          <w:p w14:paraId="3D597EAE" w14:textId="77777777" w:rsidR="00E516E6" w:rsidRPr="00DF1C7E" w:rsidRDefault="00E516E6" w:rsidP="00F44887">
            <w:pPr>
              <w:pStyle w:val="NoSpacing"/>
              <w:rPr>
                <w:rFonts w:cstheme="minorHAnsi"/>
                <w:b/>
                <w:bCs/>
                <w:color w:val="FFFFFF" w:themeColor="background1"/>
                <w:sz w:val="22"/>
                <w:szCs w:val="22"/>
                <w:lang w:eastAsia="en-GB"/>
              </w:rPr>
            </w:pPr>
            <w:r w:rsidRPr="00DF1C7E">
              <w:rPr>
                <w:rFonts w:cstheme="minorHAnsi"/>
                <w:b/>
                <w:bCs/>
                <w:color w:val="FFFFFF" w:themeColor="background1"/>
                <w:sz w:val="22"/>
                <w:szCs w:val="22"/>
                <w:lang w:eastAsia="en-GB"/>
              </w:rPr>
              <w:t>Size (GT)</w:t>
            </w:r>
          </w:p>
        </w:tc>
        <w:tc>
          <w:tcPr>
            <w:tcW w:w="1417" w:type="dxa"/>
            <w:shd w:val="clear" w:color="auto" w:fill="2F5496" w:themeFill="accent1" w:themeFillShade="BF"/>
            <w:vAlign w:val="bottom"/>
          </w:tcPr>
          <w:p w14:paraId="2D5DA51E" w14:textId="77777777" w:rsidR="00E516E6" w:rsidRPr="00DF1C7E" w:rsidRDefault="00E516E6" w:rsidP="00E516E6">
            <w:pPr>
              <w:pStyle w:val="NoSpacing"/>
              <w:jc w:val="center"/>
              <w:rPr>
                <w:rFonts w:cstheme="minorHAnsi"/>
                <w:b/>
                <w:bCs/>
                <w:color w:val="FFFFFF" w:themeColor="background1"/>
                <w:sz w:val="22"/>
                <w:szCs w:val="22"/>
                <w:lang w:eastAsia="en-GB"/>
              </w:rPr>
            </w:pPr>
            <w:r w:rsidRPr="00DF1C7E">
              <w:rPr>
                <w:rFonts w:cstheme="minorHAnsi"/>
                <w:b/>
                <w:bCs/>
                <w:color w:val="FFFFFF" w:themeColor="background1"/>
                <w:sz w:val="22"/>
                <w:szCs w:val="22"/>
                <w:lang w:eastAsia="en-GB"/>
              </w:rPr>
              <w:t>2020 EEOI/AER</w:t>
            </w:r>
          </w:p>
        </w:tc>
        <w:tc>
          <w:tcPr>
            <w:tcW w:w="1418" w:type="dxa"/>
            <w:shd w:val="clear" w:color="auto" w:fill="2F5496" w:themeFill="accent1" w:themeFillShade="BF"/>
            <w:vAlign w:val="bottom"/>
          </w:tcPr>
          <w:p w14:paraId="7C94313C" w14:textId="77777777" w:rsidR="00E516E6" w:rsidRPr="00DF1C7E" w:rsidRDefault="00E516E6" w:rsidP="00E516E6">
            <w:pPr>
              <w:pStyle w:val="NoSpacing"/>
              <w:jc w:val="center"/>
              <w:rPr>
                <w:rFonts w:cstheme="minorHAnsi"/>
                <w:b/>
                <w:bCs/>
                <w:color w:val="FFFFFF" w:themeColor="background1"/>
                <w:sz w:val="22"/>
                <w:szCs w:val="22"/>
                <w:lang w:eastAsia="en-GB"/>
              </w:rPr>
            </w:pPr>
            <w:r w:rsidRPr="00DF1C7E">
              <w:rPr>
                <w:rFonts w:cstheme="minorHAnsi"/>
                <w:b/>
                <w:bCs/>
                <w:color w:val="FFFFFF" w:themeColor="background1"/>
                <w:sz w:val="22"/>
                <w:szCs w:val="22"/>
                <w:lang w:eastAsia="en-GB"/>
              </w:rPr>
              <w:t>2030 EEOI/AER</w:t>
            </w:r>
          </w:p>
        </w:tc>
        <w:tc>
          <w:tcPr>
            <w:tcW w:w="1418" w:type="dxa"/>
            <w:shd w:val="clear" w:color="auto" w:fill="2F5496" w:themeFill="accent1" w:themeFillShade="BF"/>
            <w:vAlign w:val="bottom"/>
          </w:tcPr>
          <w:p w14:paraId="5C31B39F" w14:textId="77777777" w:rsidR="00E516E6" w:rsidRPr="00DF1C7E" w:rsidRDefault="00E516E6" w:rsidP="00E516E6">
            <w:pPr>
              <w:pStyle w:val="NoSpacing"/>
              <w:jc w:val="center"/>
              <w:rPr>
                <w:rFonts w:cstheme="minorHAnsi"/>
                <w:b/>
                <w:bCs/>
                <w:color w:val="FFFFFF" w:themeColor="background1"/>
                <w:sz w:val="22"/>
                <w:szCs w:val="22"/>
                <w:lang w:eastAsia="en-GB"/>
              </w:rPr>
            </w:pPr>
            <w:r w:rsidRPr="00DF1C7E">
              <w:rPr>
                <w:rFonts w:cstheme="minorHAnsi"/>
                <w:b/>
                <w:bCs/>
                <w:color w:val="FFFFFF" w:themeColor="background1"/>
                <w:sz w:val="22"/>
                <w:szCs w:val="22"/>
                <w:lang w:eastAsia="en-GB"/>
              </w:rPr>
              <w:t>2040 EEOI/AER</w:t>
            </w:r>
          </w:p>
        </w:tc>
        <w:tc>
          <w:tcPr>
            <w:tcW w:w="857" w:type="dxa"/>
            <w:shd w:val="clear" w:color="auto" w:fill="2F5496" w:themeFill="accent1" w:themeFillShade="BF"/>
            <w:vAlign w:val="bottom"/>
          </w:tcPr>
          <w:p w14:paraId="79C4B918" w14:textId="5F6BD876" w:rsidR="00E516E6" w:rsidRPr="00DF1C7E" w:rsidRDefault="00E516E6" w:rsidP="00E516E6">
            <w:pPr>
              <w:pStyle w:val="NoSpacing"/>
              <w:jc w:val="center"/>
              <w:rPr>
                <w:rFonts w:cstheme="minorHAnsi"/>
                <w:b/>
                <w:bCs/>
                <w:color w:val="FFFFFF" w:themeColor="background1"/>
                <w:sz w:val="22"/>
                <w:szCs w:val="22"/>
                <w:lang w:eastAsia="en-GB"/>
              </w:rPr>
            </w:pPr>
            <w:r w:rsidRPr="00DF1C7E">
              <w:rPr>
                <w:rFonts w:cstheme="minorHAnsi"/>
                <w:b/>
                <w:bCs/>
                <w:color w:val="FFFFFF" w:themeColor="background1"/>
                <w:sz w:val="22"/>
                <w:szCs w:val="22"/>
                <w:lang w:eastAsia="en-GB"/>
              </w:rPr>
              <w:t>2050</w:t>
            </w:r>
          </w:p>
        </w:tc>
      </w:tr>
      <w:tr w:rsidR="003626B3" w:rsidRPr="00AB3073" w14:paraId="169BA575" w14:textId="77777777" w:rsidTr="003626B3">
        <w:trPr>
          <w:trHeight w:val="59"/>
        </w:trPr>
        <w:tc>
          <w:tcPr>
            <w:tcW w:w="2032" w:type="dxa"/>
            <w:shd w:val="clear" w:color="auto" w:fill="auto"/>
            <w:noWrap/>
            <w:vAlign w:val="center"/>
            <w:hideMark/>
          </w:tcPr>
          <w:p w14:paraId="4402DD61" w14:textId="77777777" w:rsidR="00E516E6" w:rsidRPr="00AB3073" w:rsidRDefault="00E516E6" w:rsidP="00F44887">
            <w:pPr>
              <w:pStyle w:val="NoSpacing"/>
              <w:rPr>
                <w:rFonts w:cstheme="minorHAnsi"/>
                <w:sz w:val="22"/>
                <w:szCs w:val="22"/>
                <w:lang w:eastAsia="en-GB"/>
              </w:rPr>
            </w:pPr>
            <w:r w:rsidRPr="00AB3073">
              <w:rPr>
                <w:rFonts w:cstheme="minorHAnsi"/>
                <w:sz w:val="22"/>
                <w:szCs w:val="22"/>
                <w:lang w:eastAsia="en-GB"/>
              </w:rPr>
              <w:t>Bulk carrier</w:t>
            </w:r>
          </w:p>
        </w:tc>
        <w:tc>
          <w:tcPr>
            <w:tcW w:w="1654" w:type="dxa"/>
            <w:shd w:val="clear" w:color="auto" w:fill="auto"/>
            <w:noWrap/>
            <w:vAlign w:val="center"/>
            <w:hideMark/>
          </w:tcPr>
          <w:p w14:paraId="3CF39E84" w14:textId="77777777" w:rsidR="00E516E6" w:rsidRPr="00AB3073" w:rsidRDefault="00E516E6" w:rsidP="00F44887">
            <w:pPr>
              <w:pStyle w:val="NoSpacing"/>
              <w:rPr>
                <w:rFonts w:cstheme="minorHAnsi"/>
                <w:sz w:val="22"/>
                <w:szCs w:val="22"/>
                <w:lang w:eastAsia="en-GB"/>
              </w:rPr>
            </w:pPr>
            <w:r w:rsidRPr="00AB3073">
              <w:rPr>
                <w:rFonts w:cstheme="minorHAnsi"/>
                <w:sz w:val="22"/>
                <w:szCs w:val="22"/>
                <w:lang w:eastAsia="en-GB"/>
              </w:rPr>
              <w:t>0-9999</w:t>
            </w:r>
          </w:p>
        </w:tc>
        <w:tc>
          <w:tcPr>
            <w:tcW w:w="1417" w:type="dxa"/>
            <w:vAlign w:val="bottom"/>
          </w:tcPr>
          <w:p w14:paraId="6915045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35.1 / 24.6</w:t>
            </w:r>
          </w:p>
        </w:tc>
        <w:tc>
          <w:tcPr>
            <w:tcW w:w="1418" w:type="dxa"/>
            <w:vAlign w:val="bottom"/>
          </w:tcPr>
          <w:p w14:paraId="66548E5D"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23.4 / 16.4</w:t>
            </w:r>
          </w:p>
        </w:tc>
        <w:tc>
          <w:tcPr>
            <w:tcW w:w="1418" w:type="dxa"/>
            <w:vAlign w:val="bottom"/>
          </w:tcPr>
          <w:p w14:paraId="54E6834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11.7 / 8.2</w:t>
            </w:r>
          </w:p>
        </w:tc>
        <w:tc>
          <w:tcPr>
            <w:tcW w:w="857" w:type="dxa"/>
            <w:vAlign w:val="bottom"/>
          </w:tcPr>
          <w:p w14:paraId="2A47913D" w14:textId="3D3421B2"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3626B3" w:rsidRPr="00AB3073" w14:paraId="12930F78" w14:textId="77777777" w:rsidTr="003626B3">
        <w:trPr>
          <w:trHeight w:val="203"/>
        </w:trPr>
        <w:tc>
          <w:tcPr>
            <w:tcW w:w="2032" w:type="dxa"/>
            <w:shd w:val="clear" w:color="auto" w:fill="auto"/>
            <w:noWrap/>
            <w:vAlign w:val="center"/>
            <w:hideMark/>
          </w:tcPr>
          <w:p w14:paraId="6C273A3D" w14:textId="77777777" w:rsidR="00E516E6" w:rsidRPr="00AB3073" w:rsidRDefault="00E516E6" w:rsidP="00F44887">
            <w:pPr>
              <w:pStyle w:val="NoSpacing"/>
              <w:rPr>
                <w:rFonts w:cstheme="minorHAnsi"/>
                <w:sz w:val="22"/>
                <w:szCs w:val="22"/>
                <w:lang w:eastAsia="en-GB"/>
              </w:rPr>
            </w:pPr>
            <w:r w:rsidRPr="00AB3073">
              <w:rPr>
                <w:rFonts w:cstheme="minorHAnsi"/>
                <w:sz w:val="22"/>
                <w:szCs w:val="22"/>
                <w:lang w:eastAsia="en-GB"/>
              </w:rPr>
              <w:t>Bulk carrier</w:t>
            </w:r>
          </w:p>
        </w:tc>
        <w:tc>
          <w:tcPr>
            <w:tcW w:w="1654" w:type="dxa"/>
            <w:shd w:val="clear" w:color="auto" w:fill="auto"/>
            <w:noWrap/>
            <w:vAlign w:val="center"/>
            <w:hideMark/>
          </w:tcPr>
          <w:p w14:paraId="37F233F7" w14:textId="77777777" w:rsidR="00E516E6" w:rsidRPr="00AB3073" w:rsidRDefault="00E516E6" w:rsidP="00F44887">
            <w:pPr>
              <w:pStyle w:val="NoSpacing"/>
              <w:rPr>
                <w:rFonts w:cstheme="minorHAnsi"/>
                <w:sz w:val="22"/>
                <w:szCs w:val="22"/>
                <w:lang w:eastAsia="en-GB"/>
              </w:rPr>
            </w:pPr>
            <w:r w:rsidRPr="00AB3073">
              <w:rPr>
                <w:rFonts w:cstheme="minorHAnsi"/>
                <w:sz w:val="22"/>
                <w:szCs w:val="22"/>
                <w:lang w:eastAsia="en-GB"/>
              </w:rPr>
              <w:t>10000-34999</w:t>
            </w:r>
          </w:p>
        </w:tc>
        <w:tc>
          <w:tcPr>
            <w:tcW w:w="1417" w:type="dxa"/>
            <w:vAlign w:val="bottom"/>
          </w:tcPr>
          <w:p w14:paraId="61C063AB"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12.2 / 6.6</w:t>
            </w:r>
          </w:p>
        </w:tc>
        <w:tc>
          <w:tcPr>
            <w:tcW w:w="1418" w:type="dxa"/>
            <w:vAlign w:val="bottom"/>
          </w:tcPr>
          <w:p w14:paraId="2CBC8844"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8.1 / 4.4</w:t>
            </w:r>
          </w:p>
        </w:tc>
        <w:tc>
          <w:tcPr>
            <w:tcW w:w="1418" w:type="dxa"/>
            <w:vAlign w:val="bottom"/>
          </w:tcPr>
          <w:p w14:paraId="57C456D1"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4.1 / 2.2</w:t>
            </w:r>
          </w:p>
        </w:tc>
        <w:tc>
          <w:tcPr>
            <w:tcW w:w="857" w:type="dxa"/>
            <w:vAlign w:val="bottom"/>
          </w:tcPr>
          <w:p w14:paraId="22438005" w14:textId="13FD77AB"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3626B3" w:rsidRPr="00AB3073" w14:paraId="209842A6" w14:textId="77777777" w:rsidTr="003626B3">
        <w:trPr>
          <w:trHeight w:val="59"/>
        </w:trPr>
        <w:tc>
          <w:tcPr>
            <w:tcW w:w="2032" w:type="dxa"/>
            <w:shd w:val="clear" w:color="auto" w:fill="auto"/>
            <w:noWrap/>
            <w:vAlign w:val="center"/>
            <w:hideMark/>
          </w:tcPr>
          <w:p w14:paraId="2EC5254B"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Bulk carrier</w:t>
            </w:r>
          </w:p>
        </w:tc>
        <w:tc>
          <w:tcPr>
            <w:tcW w:w="1654" w:type="dxa"/>
            <w:shd w:val="clear" w:color="auto" w:fill="auto"/>
            <w:noWrap/>
            <w:vAlign w:val="center"/>
            <w:hideMark/>
          </w:tcPr>
          <w:p w14:paraId="5C3478A6"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35000-59999</w:t>
            </w:r>
          </w:p>
        </w:tc>
        <w:tc>
          <w:tcPr>
            <w:tcW w:w="1417" w:type="dxa"/>
            <w:vAlign w:val="bottom"/>
          </w:tcPr>
          <w:p w14:paraId="6405604E"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9.2 / 4.6</w:t>
            </w:r>
          </w:p>
        </w:tc>
        <w:tc>
          <w:tcPr>
            <w:tcW w:w="1418" w:type="dxa"/>
            <w:vAlign w:val="bottom"/>
          </w:tcPr>
          <w:p w14:paraId="3D4C6EA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6.2 / 3.1</w:t>
            </w:r>
          </w:p>
        </w:tc>
        <w:tc>
          <w:tcPr>
            <w:tcW w:w="1418" w:type="dxa"/>
            <w:vAlign w:val="bottom"/>
          </w:tcPr>
          <w:p w14:paraId="383E8A43"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3.1 / 1.5</w:t>
            </w:r>
          </w:p>
        </w:tc>
        <w:tc>
          <w:tcPr>
            <w:tcW w:w="857" w:type="dxa"/>
            <w:vAlign w:val="bottom"/>
          </w:tcPr>
          <w:p w14:paraId="524AF4A5" w14:textId="60A5FC1B"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3626B3" w:rsidRPr="00AB3073" w14:paraId="6F846AA9" w14:textId="77777777" w:rsidTr="003626B3">
        <w:trPr>
          <w:trHeight w:val="59"/>
        </w:trPr>
        <w:tc>
          <w:tcPr>
            <w:tcW w:w="2032" w:type="dxa"/>
            <w:shd w:val="clear" w:color="auto" w:fill="auto"/>
            <w:noWrap/>
            <w:vAlign w:val="center"/>
            <w:hideMark/>
          </w:tcPr>
          <w:p w14:paraId="0C419294"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Bulk carrier</w:t>
            </w:r>
          </w:p>
        </w:tc>
        <w:tc>
          <w:tcPr>
            <w:tcW w:w="1654" w:type="dxa"/>
            <w:shd w:val="clear" w:color="auto" w:fill="auto"/>
            <w:noWrap/>
            <w:vAlign w:val="center"/>
            <w:hideMark/>
          </w:tcPr>
          <w:p w14:paraId="4AA0FB0D"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60000-99999</w:t>
            </w:r>
          </w:p>
        </w:tc>
        <w:tc>
          <w:tcPr>
            <w:tcW w:w="1417" w:type="dxa"/>
            <w:vAlign w:val="bottom"/>
          </w:tcPr>
          <w:p w14:paraId="1CCBFFE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8.4 / 3.6</w:t>
            </w:r>
          </w:p>
        </w:tc>
        <w:tc>
          <w:tcPr>
            <w:tcW w:w="1418" w:type="dxa"/>
            <w:vAlign w:val="bottom"/>
          </w:tcPr>
          <w:p w14:paraId="59254D7B"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5.6 / 2.4</w:t>
            </w:r>
          </w:p>
        </w:tc>
        <w:tc>
          <w:tcPr>
            <w:tcW w:w="1418" w:type="dxa"/>
            <w:vAlign w:val="bottom"/>
          </w:tcPr>
          <w:p w14:paraId="071A5E9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2.8 / 1.2</w:t>
            </w:r>
          </w:p>
        </w:tc>
        <w:tc>
          <w:tcPr>
            <w:tcW w:w="857" w:type="dxa"/>
            <w:vAlign w:val="bottom"/>
          </w:tcPr>
          <w:p w14:paraId="19ABD12D" w14:textId="6612A30A"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3626B3" w:rsidRPr="00AB3073" w14:paraId="64AE43DC" w14:textId="77777777" w:rsidTr="003626B3">
        <w:trPr>
          <w:trHeight w:val="104"/>
        </w:trPr>
        <w:tc>
          <w:tcPr>
            <w:tcW w:w="2032" w:type="dxa"/>
            <w:shd w:val="clear" w:color="auto" w:fill="auto"/>
            <w:noWrap/>
            <w:vAlign w:val="center"/>
            <w:hideMark/>
          </w:tcPr>
          <w:p w14:paraId="45FCC1E4"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Bulk carrier</w:t>
            </w:r>
          </w:p>
        </w:tc>
        <w:tc>
          <w:tcPr>
            <w:tcW w:w="1654" w:type="dxa"/>
            <w:shd w:val="clear" w:color="auto" w:fill="auto"/>
            <w:noWrap/>
            <w:vAlign w:val="center"/>
            <w:hideMark/>
          </w:tcPr>
          <w:p w14:paraId="0CA72245"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100000-199999</w:t>
            </w:r>
          </w:p>
        </w:tc>
        <w:tc>
          <w:tcPr>
            <w:tcW w:w="1417" w:type="dxa"/>
            <w:vAlign w:val="bottom"/>
          </w:tcPr>
          <w:p w14:paraId="02DA6DC3"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4.6 / 2.4</w:t>
            </w:r>
          </w:p>
        </w:tc>
        <w:tc>
          <w:tcPr>
            <w:tcW w:w="1418" w:type="dxa"/>
            <w:vAlign w:val="bottom"/>
          </w:tcPr>
          <w:p w14:paraId="10B18A44"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3.1 / 1.6</w:t>
            </w:r>
          </w:p>
        </w:tc>
        <w:tc>
          <w:tcPr>
            <w:tcW w:w="1418" w:type="dxa"/>
            <w:vAlign w:val="bottom"/>
          </w:tcPr>
          <w:p w14:paraId="0611FD91"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1.5 / 0.8</w:t>
            </w:r>
          </w:p>
        </w:tc>
        <w:tc>
          <w:tcPr>
            <w:tcW w:w="857" w:type="dxa"/>
            <w:vAlign w:val="bottom"/>
          </w:tcPr>
          <w:p w14:paraId="7B396A41" w14:textId="786EA169"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3626B3" w:rsidRPr="00AB3073" w14:paraId="0562DCA6" w14:textId="77777777" w:rsidTr="003626B3">
        <w:trPr>
          <w:trHeight w:val="59"/>
        </w:trPr>
        <w:tc>
          <w:tcPr>
            <w:tcW w:w="2032" w:type="dxa"/>
            <w:shd w:val="clear" w:color="auto" w:fill="auto"/>
            <w:noWrap/>
            <w:vAlign w:val="center"/>
            <w:hideMark/>
          </w:tcPr>
          <w:p w14:paraId="0C6E3FB1"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Bulk carrier</w:t>
            </w:r>
          </w:p>
        </w:tc>
        <w:tc>
          <w:tcPr>
            <w:tcW w:w="1654" w:type="dxa"/>
            <w:shd w:val="clear" w:color="auto" w:fill="auto"/>
            <w:noWrap/>
            <w:vAlign w:val="center"/>
            <w:hideMark/>
          </w:tcPr>
          <w:p w14:paraId="7C8E2AEF"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200000-+</w:t>
            </w:r>
          </w:p>
        </w:tc>
        <w:tc>
          <w:tcPr>
            <w:tcW w:w="1417" w:type="dxa"/>
            <w:vAlign w:val="bottom"/>
          </w:tcPr>
          <w:p w14:paraId="7512178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4.1 / 2.3</w:t>
            </w:r>
          </w:p>
        </w:tc>
        <w:tc>
          <w:tcPr>
            <w:tcW w:w="1418" w:type="dxa"/>
            <w:vAlign w:val="bottom"/>
          </w:tcPr>
          <w:p w14:paraId="521D3D8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2.7 / 1.5</w:t>
            </w:r>
          </w:p>
        </w:tc>
        <w:tc>
          <w:tcPr>
            <w:tcW w:w="1418" w:type="dxa"/>
            <w:vAlign w:val="bottom"/>
          </w:tcPr>
          <w:p w14:paraId="46CE59C1"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1.4 / 0.8</w:t>
            </w:r>
          </w:p>
        </w:tc>
        <w:tc>
          <w:tcPr>
            <w:tcW w:w="857" w:type="dxa"/>
            <w:vAlign w:val="bottom"/>
          </w:tcPr>
          <w:p w14:paraId="755628A9" w14:textId="428A403E"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0CCD70D2" w14:textId="77777777" w:rsidTr="003626B3">
        <w:trPr>
          <w:trHeight w:val="59"/>
        </w:trPr>
        <w:tc>
          <w:tcPr>
            <w:tcW w:w="2032" w:type="dxa"/>
            <w:shd w:val="clear" w:color="auto" w:fill="auto"/>
            <w:noWrap/>
            <w:vAlign w:val="center"/>
            <w:hideMark/>
          </w:tcPr>
          <w:p w14:paraId="3CB78C85"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Chemical tanker</w:t>
            </w:r>
          </w:p>
        </w:tc>
        <w:tc>
          <w:tcPr>
            <w:tcW w:w="1654" w:type="dxa"/>
            <w:shd w:val="clear" w:color="auto" w:fill="auto"/>
            <w:noWrap/>
            <w:vAlign w:val="center"/>
            <w:hideMark/>
          </w:tcPr>
          <w:p w14:paraId="68969757"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0-4999</w:t>
            </w:r>
          </w:p>
        </w:tc>
        <w:tc>
          <w:tcPr>
            <w:tcW w:w="1417" w:type="dxa"/>
            <w:vAlign w:val="bottom"/>
          </w:tcPr>
          <w:p w14:paraId="7438DA51"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40.3 / 35.4</w:t>
            </w:r>
          </w:p>
        </w:tc>
        <w:tc>
          <w:tcPr>
            <w:tcW w:w="1418" w:type="dxa"/>
            <w:vAlign w:val="bottom"/>
          </w:tcPr>
          <w:p w14:paraId="441C3CF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26.8 / 23.6</w:t>
            </w:r>
          </w:p>
        </w:tc>
        <w:tc>
          <w:tcPr>
            <w:tcW w:w="1418" w:type="dxa"/>
            <w:vAlign w:val="bottom"/>
          </w:tcPr>
          <w:p w14:paraId="0A5C1DDD"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13.4 / 11.8</w:t>
            </w:r>
          </w:p>
        </w:tc>
        <w:tc>
          <w:tcPr>
            <w:tcW w:w="857" w:type="dxa"/>
            <w:vAlign w:val="bottom"/>
          </w:tcPr>
          <w:p w14:paraId="0AF24F00" w14:textId="61166B5E"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06DC72CE" w14:textId="77777777" w:rsidTr="003626B3">
        <w:trPr>
          <w:trHeight w:val="59"/>
        </w:trPr>
        <w:tc>
          <w:tcPr>
            <w:tcW w:w="2032" w:type="dxa"/>
            <w:shd w:val="clear" w:color="auto" w:fill="auto"/>
            <w:noWrap/>
            <w:vAlign w:val="center"/>
            <w:hideMark/>
          </w:tcPr>
          <w:p w14:paraId="406DD625"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Chemical tanker</w:t>
            </w:r>
          </w:p>
        </w:tc>
        <w:tc>
          <w:tcPr>
            <w:tcW w:w="1654" w:type="dxa"/>
            <w:shd w:val="clear" w:color="auto" w:fill="auto"/>
            <w:noWrap/>
            <w:vAlign w:val="center"/>
            <w:hideMark/>
          </w:tcPr>
          <w:p w14:paraId="50BD2993"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5000-9999</w:t>
            </w:r>
          </w:p>
        </w:tc>
        <w:tc>
          <w:tcPr>
            <w:tcW w:w="1417" w:type="dxa"/>
            <w:vAlign w:val="bottom"/>
          </w:tcPr>
          <w:p w14:paraId="03F0C7F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26.6 / 19</w:t>
            </w:r>
          </w:p>
        </w:tc>
        <w:tc>
          <w:tcPr>
            <w:tcW w:w="1418" w:type="dxa"/>
            <w:vAlign w:val="bottom"/>
          </w:tcPr>
          <w:p w14:paraId="4734273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17.7 / 12.7</w:t>
            </w:r>
          </w:p>
        </w:tc>
        <w:tc>
          <w:tcPr>
            <w:tcW w:w="1418" w:type="dxa"/>
            <w:vAlign w:val="bottom"/>
          </w:tcPr>
          <w:p w14:paraId="36D17D0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8.9 / 6.3</w:t>
            </w:r>
          </w:p>
        </w:tc>
        <w:tc>
          <w:tcPr>
            <w:tcW w:w="857" w:type="dxa"/>
            <w:vAlign w:val="bottom"/>
          </w:tcPr>
          <w:p w14:paraId="1DB6BF7A" w14:textId="57EB2F6A"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469E429C" w14:textId="77777777" w:rsidTr="003626B3">
        <w:trPr>
          <w:trHeight w:val="59"/>
        </w:trPr>
        <w:tc>
          <w:tcPr>
            <w:tcW w:w="2032" w:type="dxa"/>
            <w:shd w:val="clear" w:color="auto" w:fill="auto"/>
            <w:noWrap/>
            <w:vAlign w:val="center"/>
            <w:hideMark/>
          </w:tcPr>
          <w:p w14:paraId="522D0740"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Chemical tanker</w:t>
            </w:r>
          </w:p>
        </w:tc>
        <w:tc>
          <w:tcPr>
            <w:tcW w:w="1654" w:type="dxa"/>
            <w:shd w:val="clear" w:color="auto" w:fill="auto"/>
            <w:noWrap/>
            <w:vAlign w:val="center"/>
            <w:hideMark/>
          </w:tcPr>
          <w:p w14:paraId="247C07DB"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10000-19999</w:t>
            </w:r>
          </w:p>
        </w:tc>
        <w:tc>
          <w:tcPr>
            <w:tcW w:w="1417" w:type="dxa"/>
            <w:vAlign w:val="bottom"/>
          </w:tcPr>
          <w:p w14:paraId="45461BB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18.7 / 11.9</w:t>
            </w:r>
          </w:p>
        </w:tc>
        <w:tc>
          <w:tcPr>
            <w:tcW w:w="1418" w:type="dxa"/>
            <w:vAlign w:val="bottom"/>
          </w:tcPr>
          <w:p w14:paraId="2DA266C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12.5 / 7.9</w:t>
            </w:r>
          </w:p>
        </w:tc>
        <w:tc>
          <w:tcPr>
            <w:tcW w:w="1418" w:type="dxa"/>
            <w:vAlign w:val="bottom"/>
          </w:tcPr>
          <w:p w14:paraId="4A4D4FE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6.2 / 4</w:t>
            </w:r>
          </w:p>
        </w:tc>
        <w:tc>
          <w:tcPr>
            <w:tcW w:w="857" w:type="dxa"/>
            <w:vAlign w:val="bottom"/>
          </w:tcPr>
          <w:p w14:paraId="12FE7369" w14:textId="4ED8A452"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2811CD26" w14:textId="77777777" w:rsidTr="003626B3">
        <w:trPr>
          <w:trHeight w:val="59"/>
        </w:trPr>
        <w:tc>
          <w:tcPr>
            <w:tcW w:w="2032" w:type="dxa"/>
            <w:shd w:val="clear" w:color="auto" w:fill="auto"/>
            <w:noWrap/>
            <w:vAlign w:val="center"/>
            <w:hideMark/>
          </w:tcPr>
          <w:p w14:paraId="406E2EBE"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Chemical tanker</w:t>
            </w:r>
          </w:p>
        </w:tc>
        <w:tc>
          <w:tcPr>
            <w:tcW w:w="1654" w:type="dxa"/>
            <w:shd w:val="clear" w:color="auto" w:fill="auto"/>
            <w:noWrap/>
            <w:vAlign w:val="center"/>
            <w:hideMark/>
          </w:tcPr>
          <w:p w14:paraId="5E040138"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20000-+</w:t>
            </w:r>
          </w:p>
        </w:tc>
        <w:tc>
          <w:tcPr>
            <w:tcW w:w="1417" w:type="dxa"/>
            <w:vAlign w:val="bottom"/>
          </w:tcPr>
          <w:p w14:paraId="5AAFA526"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12.3 / 6.5</w:t>
            </w:r>
          </w:p>
        </w:tc>
        <w:tc>
          <w:tcPr>
            <w:tcW w:w="1418" w:type="dxa"/>
            <w:vAlign w:val="bottom"/>
          </w:tcPr>
          <w:p w14:paraId="1F5F7A8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8.2 / 4.3</w:t>
            </w:r>
          </w:p>
        </w:tc>
        <w:tc>
          <w:tcPr>
            <w:tcW w:w="1418" w:type="dxa"/>
            <w:vAlign w:val="bottom"/>
          </w:tcPr>
          <w:p w14:paraId="2CED1B3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4.1 / 2.2</w:t>
            </w:r>
          </w:p>
        </w:tc>
        <w:tc>
          <w:tcPr>
            <w:tcW w:w="857" w:type="dxa"/>
            <w:vAlign w:val="bottom"/>
          </w:tcPr>
          <w:p w14:paraId="1F3AA67D" w14:textId="0B16E830"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097B2D37" w14:textId="77777777" w:rsidTr="003626B3">
        <w:trPr>
          <w:trHeight w:val="59"/>
        </w:trPr>
        <w:tc>
          <w:tcPr>
            <w:tcW w:w="2032" w:type="dxa"/>
            <w:shd w:val="clear" w:color="auto" w:fill="auto"/>
            <w:noWrap/>
            <w:vAlign w:val="center"/>
            <w:hideMark/>
          </w:tcPr>
          <w:p w14:paraId="4DF7E613"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Container</w:t>
            </w:r>
          </w:p>
        </w:tc>
        <w:tc>
          <w:tcPr>
            <w:tcW w:w="1654" w:type="dxa"/>
            <w:shd w:val="clear" w:color="auto" w:fill="auto"/>
            <w:noWrap/>
            <w:vAlign w:val="center"/>
            <w:hideMark/>
          </w:tcPr>
          <w:p w14:paraId="3A423461"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0-999</w:t>
            </w:r>
          </w:p>
        </w:tc>
        <w:tc>
          <w:tcPr>
            <w:tcW w:w="1417" w:type="dxa"/>
            <w:vAlign w:val="bottom"/>
          </w:tcPr>
          <w:p w14:paraId="18E0400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27.3 / 16.9</w:t>
            </w:r>
          </w:p>
        </w:tc>
        <w:tc>
          <w:tcPr>
            <w:tcW w:w="1418" w:type="dxa"/>
            <w:vAlign w:val="bottom"/>
          </w:tcPr>
          <w:p w14:paraId="6E056817"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18.2 / 11.3</w:t>
            </w:r>
          </w:p>
        </w:tc>
        <w:tc>
          <w:tcPr>
            <w:tcW w:w="1418" w:type="dxa"/>
            <w:vAlign w:val="bottom"/>
          </w:tcPr>
          <w:p w14:paraId="60773DD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9.1 / 5.6</w:t>
            </w:r>
          </w:p>
        </w:tc>
        <w:tc>
          <w:tcPr>
            <w:tcW w:w="857" w:type="dxa"/>
            <w:vAlign w:val="bottom"/>
          </w:tcPr>
          <w:p w14:paraId="598CCC01" w14:textId="1F698578"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5A14DBA6" w14:textId="77777777" w:rsidTr="003626B3">
        <w:trPr>
          <w:trHeight w:val="59"/>
        </w:trPr>
        <w:tc>
          <w:tcPr>
            <w:tcW w:w="2032" w:type="dxa"/>
            <w:shd w:val="clear" w:color="auto" w:fill="auto"/>
            <w:noWrap/>
            <w:vAlign w:val="center"/>
            <w:hideMark/>
          </w:tcPr>
          <w:p w14:paraId="55824B34"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Container</w:t>
            </w:r>
          </w:p>
        </w:tc>
        <w:tc>
          <w:tcPr>
            <w:tcW w:w="1654" w:type="dxa"/>
            <w:shd w:val="clear" w:color="auto" w:fill="auto"/>
            <w:noWrap/>
            <w:vAlign w:val="center"/>
            <w:hideMark/>
          </w:tcPr>
          <w:p w14:paraId="028BFAE3"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1000-1999</w:t>
            </w:r>
          </w:p>
        </w:tc>
        <w:tc>
          <w:tcPr>
            <w:tcW w:w="1417" w:type="dxa"/>
            <w:vAlign w:val="bottom"/>
          </w:tcPr>
          <w:p w14:paraId="4F2486A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24.9 / 14.8</w:t>
            </w:r>
          </w:p>
        </w:tc>
        <w:tc>
          <w:tcPr>
            <w:tcW w:w="1418" w:type="dxa"/>
            <w:vAlign w:val="bottom"/>
          </w:tcPr>
          <w:p w14:paraId="474E39E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16.6 / 9.9</w:t>
            </w:r>
          </w:p>
        </w:tc>
        <w:tc>
          <w:tcPr>
            <w:tcW w:w="1418" w:type="dxa"/>
            <w:vAlign w:val="bottom"/>
          </w:tcPr>
          <w:p w14:paraId="1F10ABE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8.3 / 4.9</w:t>
            </w:r>
          </w:p>
        </w:tc>
        <w:tc>
          <w:tcPr>
            <w:tcW w:w="857" w:type="dxa"/>
            <w:vAlign w:val="bottom"/>
          </w:tcPr>
          <w:p w14:paraId="5D9FE4AE" w14:textId="5BC1DA6D"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5773D22C" w14:textId="77777777" w:rsidTr="003626B3">
        <w:trPr>
          <w:trHeight w:val="59"/>
        </w:trPr>
        <w:tc>
          <w:tcPr>
            <w:tcW w:w="2032" w:type="dxa"/>
            <w:shd w:val="clear" w:color="auto" w:fill="auto"/>
            <w:noWrap/>
            <w:vAlign w:val="center"/>
            <w:hideMark/>
          </w:tcPr>
          <w:p w14:paraId="6D3B537B"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Container</w:t>
            </w:r>
          </w:p>
        </w:tc>
        <w:tc>
          <w:tcPr>
            <w:tcW w:w="1654" w:type="dxa"/>
            <w:shd w:val="clear" w:color="auto" w:fill="auto"/>
            <w:noWrap/>
            <w:vAlign w:val="center"/>
            <w:hideMark/>
          </w:tcPr>
          <w:p w14:paraId="17FE9045"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2000-2999</w:t>
            </w:r>
          </w:p>
        </w:tc>
        <w:tc>
          <w:tcPr>
            <w:tcW w:w="1417" w:type="dxa"/>
            <w:vAlign w:val="bottom"/>
          </w:tcPr>
          <w:p w14:paraId="1BF160D7"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19.5 / 10</w:t>
            </w:r>
          </w:p>
        </w:tc>
        <w:tc>
          <w:tcPr>
            <w:tcW w:w="1418" w:type="dxa"/>
            <w:vAlign w:val="bottom"/>
          </w:tcPr>
          <w:p w14:paraId="161CCD4F"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13 / 6.7</w:t>
            </w:r>
          </w:p>
        </w:tc>
        <w:tc>
          <w:tcPr>
            <w:tcW w:w="1418" w:type="dxa"/>
            <w:vAlign w:val="bottom"/>
          </w:tcPr>
          <w:p w14:paraId="69FD01D3"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6.5 / 3.3</w:t>
            </w:r>
          </w:p>
        </w:tc>
        <w:tc>
          <w:tcPr>
            <w:tcW w:w="857" w:type="dxa"/>
            <w:vAlign w:val="bottom"/>
          </w:tcPr>
          <w:p w14:paraId="2A3BE959" w14:textId="3F170572"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2CCBF8D5" w14:textId="77777777" w:rsidTr="003626B3">
        <w:trPr>
          <w:trHeight w:val="91"/>
        </w:trPr>
        <w:tc>
          <w:tcPr>
            <w:tcW w:w="2032" w:type="dxa"/>
            <w:shd w:val="clear" w:color="auto" w:fill="auto"/>
            <w:noWrap/>
            <w:vAlign w:val="center"/>
            <w:hideMark/>
          </w:tcPr>
          <w:p w14:paraId="1152CFD5"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Container</w:t>
            </w:r>
          </w:p>
        </w:tc>
        <w:tc>
          <w:tcPr>
            <w:tcW w:w="1654" w:type="dxa"/>
            <w:shd w:val="clear" w:color="auto" w:fill="auto"/>
            <w:noWrap/>
            <w:vAlign w:val="center"/>
            <w:hideMark/>
          </w:tcPr>
          <w:p w14:paraId="30FBDCCC"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3000-4999</w:t>
            </w:r>
          </w:p>
        </w:tc>
        <w:tc>
          <w:tcPr>
            <w:tcW w:w="1417" w:type="dxa"/>
            <w:vAlign w:val="bottom"/>
          </w:tcPr>
          <w:p w14:paraId="49523D5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16.8 / 8.3</w:t>
            </w:r>
          </w:p>
        </w:tc>
        <w:tc>
          <w:tcPr>
            <w:tcW w:w="1418" w:type="dxa"/>
            <w:vAlign w:val="bottom"/>
          </w:tcPr>
          <w:p w14:paraId="730864DB"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11.2 / 5.5</w:t>
            </w:r>
          </w:p>
        </w:tc>
        <w:tc>
          <w:tcPr>
            <w:tcW w:w="1418" w:type="dxa"/>
            <w:vAlign w:val="bottom"/>
          </w:tcPr>
          <w:p w14:paraId="24122A7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5.6 / 2.8</w:t>
            </w:r>
          </w:p>
        </w:tc>
        <w:tc>
          <w:tcPr>
            <w:tcW w:w="857" w:type="dxa"/>
            <w:vAlign w:val="bottom"/>
          </w:tcPr>
          <w:p w14:paraId="67F49383" w14:textId="39621165"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71D8AA6F" w14:textId="77777777" w:rsidTr="003626B3">
        <w:trPr>
          <w:trHeight w:val="140"/>
        </w:trPr>
        <w:tc>
          <w:tcPr>
            <w:tcW w:w="2032" w:type="dxa"/>
            <w:shd w:val="clear" w:color="auto" w:fill="auto"/>
            <w:noWrap/>
            <w:vAlign w:val="center"/>
            <w:hideMark/>
          </w:tcPr>
          <w:p w14:paraId="2815E0F7"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Container</w:t>
            </w:r>
          </w:p>
        </w:tc>
        <w:tc>
          <w:tcPr>
            <w:tcW w:w="1654" w:type="dxa"/>
            <w:shd w:val="clear" w:color="auto" w:fill="auto"/>
            <w:noWrap/>
            <w:vAlign w:val="center"/>
            <w:hideMark/>
          </w:tcPr>
          <w:p w14:paraId="6A64388C"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5000-7999</w:t>
            </w:r>
          </w:p>
        </w:tc>
        <w:tc>
          <w:tcPr>
            <w:tcW w:w="1417" w:type="dxa"/>
            <w:vAlign w:val="bottom"/>
          </w:tcPr>
          <w:p w14:paraId="21DA4461"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16.2 / 7.8</w:t>
            </w:r>
          </w:p>
        </w:tc>
        <w:tc>
          <w:tcPr>
            <w:tcW w:w="1418" w:type="dxa"/>
            <w:vAlign w:val="bottom"/>
          </w:tcPr>
          <w:p w14:paraId="4D7DF7D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10.8 / 5.2</w:t>
            </w:r>
          </w:p>
        </w:tc>
        <w:tc>
          <w:tcPr>
            <w:tcW w:w="1418" w:type="dxa"/>
            <w:vAlign w:val="bottom"/>
          </w:tcPr>
          <w:p w14:paraId="749981DD"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5.4 / 2.6</w:t>
            </w:r>
          </w:p>
        </w:tc>
        <w:tc>
          <w:tcPr>
            <w:tcW w:w="857" w:type="dxa"/>
            <w:vAlign w:val="bottom"/>
          </w:tcPr>
          <w:p w14:paraId="4017F32C" w14:textId="28DC5026"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0B4B484C" w14:textId="77777777" w:rsidTr="003626B3">
        <w:trPr>
          <w:trHeight w:val="59"/>
        </w:trPr>
        <w:tc>
          <w:tcPr>
            <w:tcW w:w="2032" w:type="dxa"/>
            <w:shd w:val="clear" w:color="auto" w:fill="auto"/>
            <w:noWrap/>
            <w:vAlign w:val="center"/>
            <w:hideMark/>
          </w:tcPr>
          <w:p w14:paraId="200F6128"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Container</w:t>
            </w:r>
          </w:p>
        </w:tc>
        <w:tc>
          <w:tcPr>
            <w:tcW w:w="1654" w:type="dxa"/>
            <w:shd w:val="clear" w:color="auto" w:fill="auto"/>
            <w:noWrap/>
            <w:vAlign w:val="center"/>
            <w:hideMark/>
          </w:tcPr>
          <w:p w14:paraId="090F06B0"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8000-11999</w:t>
            </w:r>
          </w:p>
        </w:tc>
        <w:tc>
          <w:tcPr>
            <w:tcW w:w="1417" w:type="dxa"/>
            <w:vAlign w:val="bottom"/>
          </w:tcPr>
          <w:p w14:paraId="2080488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14.1 / 6.7</w:t>
            </w:r>
          </w:p>
        </w:tc>
        <w:tc>
          <w:tcPr>
            <w:tcW w:w="1418" w:type="dxa"/>
            <w:vAlign w:val="bottom"/>
          </w:tcPr>
          <w:p w14:paraId="746B64E4"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9.4 / 4.5</w:t>
            </w:r>
          </w:p>
        </w:tc>
        <w:tc>
          <w:tcPr>
            <w:tcW w:w="1418" w:type="dxa"/>
            <w:vAlign w:val="bottom"/>
          </w:tcPr>
          <w:p w14:paraId="570A76B6"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4.7 / 2.2</w:t>
            </w:r>
          </w:p>
        </w:tc>
        <w:tc>
          <w:tcPr>
            <w:tcW w:w="857" w:type="dxa"/>
            <w:vAlign w:val="bottom"/>
          </w:tcPr>
          <w:p w14:paraId="477915EF" w14:textId="230F379B"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60B572CF" w14:textId="77777777" w:rsidTr="003626B3">
        <w:trPr>
          <w:trHeight w:val="59"/>
        </w:trPr>
        <w:tc>
          <w:tcPr>
            <w:tcW w:w="2032" w:type="dxa"/>
            <w:shd w:val="clear" w:color="auto" w:fill="auto"/>
            <w:noWrap/>
            <w:vAlign w:val="center"/>
            <w:hideMark/>
          </w:tcPr>
          <w:p w14:paraId="6221303F"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Container</w:t>
            </w:r>
          </w:p>
        </w:tc>
        <w:tc>
          <w:tcPr>
            <w:tcW w:w="1654" w:type="dxa"/>
            <w:shd w:val="clear" w:color="auto" w:fill="auto"/>
            <w:noWrap/>
            <w:vAlign w:val="center"/>
            <w:hideMark/>
          </w:tcPr>
          <w:p w14:paraId="2E44DA46"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12000-14500</w:t>
            </w:r>
          </w:p>
        </w:tc>
        <w:tc>
          <w:tcPr>
            <w:tcW w:w="1417" w:type="dxa"/>
            <w:vAlign w:val="bottom"/>
          </w:tcPr>
          <w:p w14:paraId="22766CC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10.4 / 4.6</w:t>
            </w:r>
          </w:p>
        </w:tc>
        <w:tc>
          <w:tcPr>
            <w:tcW w:w="1418" w:type="dxa"/>
            <w:vAlign w:val="bottom"/>
          </w:tcPr>
          <w:p w14:paraId="34389EE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6.9 / 3.1</w:t>
            </w:r>
          </w:p>
        </w:tc>
        <w:tc>
          <w:tcPr>
            <w:tcW w:w="1418" w:type="dxa"/>
            <w:vAlign w:val="bottom"/>
          </w:tcPr>
          <w:p w14:paraId="7B34169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3.5 / 1.5</w:t>
            </w:r>
          </w:p>
        </w:tc>
        <w:tc>
          <w:tcPr>
            <w:tcW w:w="857" w:type="dxa"/>
            <w:vAlign w:val="bottom"/>
          </w:tcPr>
          <w:p w14:paraId="1853C4E6" w14:textId="368EC449"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754EC4C2" w14:textId="77777777" w:rsidTr="003626B3">
        <w:trPr>
          <w:trHeight w:val="104"/>
        </w:trPr>
        <w:tc>
          <w:tcPr>
            <w:tcW w:w="2032" w:type="dxa"/>
            <w:shd w:val="clear" w:color="auto" w:fill="auto"/>
            <w:noWrap/>
            <w:vAlign w:val="center"/>
            <w:hideMark/>
          </w:tcPr>
          <w:p w14:paraId="2C026570" w14:textId="77777777" w:rsidR="00E516E6" w:rsidRPr="00AB3073" w:rsidRDefault="00E516E6" w:rsidP="00E516E6">
            <w:pPr>
              <w:rPr>
                <w:sz w:val="22"/>
                <w:szCs w:val="22"/>
              </w:rPr>
            </w:pPr>
            <w:r w:rsidRPr="00AB3073">
              <w:rPr>
                <w:sz w:val="22"/>
                <w:szCs w:val="22"/>
              </w:rPr>
              <w:t>Container</w:t>
            </w:r>
          </w:p>
        </w:tc>
        <w:tc>
          <w:tcPr>
            <w:tcW w:w="1654" w:type="dxa"/>
            <w:shd w:val="clear" w:color="auto" w:fill="auto"/>
            <w:noWrap/>
            <w:vAlign w:val="center"/>
            <w:hideMark/>
          </w:tcPr>
          <w:p w14:paraId="72FA454A" w14:textId="77777777" w:rsidR="00E516E6" w:rsidRPr="00AB3073" w:rsidRDefault="00E516E6" w:rsidP="00E516E6">
            <w:pPr>
              <w:rPr>
                <w:sz w:val="22"/>
                <w:szCs w:val="22"/>
              </w:rPr>
            </w:pPr>
            <w:r w:rsidRPr="00AB3073">
              <w:rPr>
                <w:sz w:val="22"/>
                <w:szCs w:val="22"/>
              </w:rPr>
              <w:t>14500-+</w:t>
            </w:r>
          </w:p>
        </w:tc>
        <w:tc>
          <w:tcPr>
            <w:tcW w:w="1417" w:type="dxa"/>
            <w:vAlign w:val="bottom"/>
          </w:tcPr>
          <w:p w14:paraId="06410C4A" w14:textId="77777777" w:rsidR="00E516E6" w:rsidRPr="00AB3073" w:rsidRDefault="00E516E6" w:rsidP="00E516E6">
            <w:pPr>
              <w:jc w:val="center"/>
              <w:rPr>
                <w:sz w:val="22"/>
                <w:szCs w:val="22"/>
              </w:rPr>
            </w:pPr>
            <w:r w:rsidRPr="00AB3073">
              <w:rPr>
                <w:sz w:val="22"/>
                <w:szCs w:val="22"/>
              </w:rPr>
              <w:t>10.4 / 4.6</w:t>
            </w:r>
          </w:p>
        </w:tc>
        <w:tc>
          <w:tcPr>
            <w:tcW w:w="1418" w:type="dxa"/>
            <w:vAlign w:val="bottom"/>
          </w:tcPr>
          <w:p w14:paraId="088135A6" w14:textId="77777777" w:rsidR="00E516E6" w:rsidRPr="00AB3073" w:rsidRDefault="00E516E6" w:rsidP="00E516E6">
            <w:pPr>
              <w:jc w:val="center"/>
              <w:rPr>
                <w:sz w:val="22"/>
                <w:szCs w:val="22"/>
              </w:rPr>
            </w:pPr>
            <w:r w:rsidRPr="00AB3073">
              <w:rPr>
                <w:sz w:val="22"/>
                <w:szCs w:val="22"/>
              </w:rPr>
              <w:t>6.9 / 3.1</w:t>
            </w:r>
          </w:p>
        </w:tc>
        <w:tc>
          <w:tcPr>
            <w:tcW w:w="1418" w:type="dxa"/>
            <w:vAlign w:val="bottom"/>
          </w:tcPr>
          <w:p w14:paraId="5FF3CEB6" w14:textId="77777777" w:rsidR="00E516E6" w:rsidRPr="00AB3073" w:rsidRDefault="00E516E6" w:rsidP="00E516E6">
            <w:pPr>
              <w:jc w:val="center"/>
              <w:rPr>
                <w:sz w:val="22"/>
                <w:szCs w:val="22"/>
              </w:rPr>
            </w:pPr>
            <w:r w:rsidRPr="00AB3073">
              <w:rPr>
                <w:sz w:val="22"/>
                <w:szCs w:val="22"/>
              </w:rPr>
              <w:t>3.5 / 1.5</w:t>
            </w:r>
          </w:p>
        </w:tc>
        <w:tc>
          <w:tcPr>
            <w:tcW w:w="857" w:type="dxa"/>
            <w:vAlign w:val="bottom"/>
          </w:tcPr>
          <w:p w14:paraId="274DF8CE" w14:textId="2E799F1C" w:rsidR="00E516E6" w:rsidRPr="00AB3073" w:rsidRDefault="00E516E6" w:rsidP="00E516E6">
            <w:pPr>
              <w:jc w:val="center"/>
              <w:rPr>
                <w:sz w:val="22"/>
                <w:szCs w:val="22"/>
              </w:rPr>
            </w:pPr>
            <w:r w:rsidRPr="00AB3073">
              <w:rPr>
                <w:sz w:val="22"/>
                <w:szCs w:val="22"/>
                <w:lang w:eastAsia="en-GB"/>
              </w:rPr>
              <w:t>0</w:t>
            </w:r>
          </w:p>
        </w:tc>
      </w:tr>
      <w:tr w:rsidR="00E516E6" w:rsidRPr="00AB3073" w14:paraId="00F68ABC" w14:textId="77777777" w:rsidTr="003626B3">
        <w:trPr>
          <w:trHeight w:val="59"/>
        </w:trPr>
        <w:tc>
          <w:tcPr>
            <w:tcW w:w="2032" w:type="dxa"/>
            <w:shd w:val="clear" w:color="auto" w:fill="auto"/>
            <w:noWrap/>
            <w:vAlign w:val="center"/>
            <w:hideMark/>
          </w:tcPr>
          <w:p w14:paraId="69DF4315"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General cargo</w:t>
            </w:r>
          </w:p>
        </w:tc>
        <w:tc>
          <w:tcPr>
            <w:tcW w:w="1654" w:type="dxa"/>
            <w:shd w:val="clear" w:color="auto" w:fill="auto"/>
            <w:noWrap/>
            <w:vAlign w:val="center"/>
            <w:hideMark/>
          </w:tcPr>
          <w:p w14:paraId="351D592B"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0-4999</w:t>
            </w:r>
          </w:p>
        </w:tc>
        <w:tc>
          <w:tcPr>
            <w:tcW w:w="1417" w:type="dxa"/>
            <w:vAlign w:val="bottom"/>
          </w:tcPr>
          <w:p w14:paraId="41F2869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30.2 / 24.2</w:t>
            </w:r>
          </w:p>
        </w:tc>
        <w:tc>
          <w:tcPr>
            <w:tcW w:w="1418" w:type="dxa"/>
            <w:vAlign w:val="bottom"/>
          </w:tcPr>
          <w:p w14:paraId="1022ED2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20.1 / 16.1</w:t>
            </w:r>
          </w:p>
        </w:tc>
        <w:tc>
          <w:tcPr>
            <w:tcW w:w="1418" w:type="dxa"/>
            <w:vAlign w:val="bottom"/>
          </w:tcPr>
          <w:p w14:paraId="26F0F33F"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10.1 / 8.1</w:t>
            </w:r>
          </w:p>
        </w:tc>
        <w:tc>
          <w:tcPr>
            <w:tcW w:w="857" w:type="dxa"/>
            <w:vAlign w:val="bottom"/>
          </w:tcPr>
          <w:p w14:paraId="04B077F4" w14:textId="1529D9A3"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09F7DB32" w14:textId="77777777" w:rsidTr="003626B3">
        <w:trPr>
          <w:trHeight w:val="59"/>
        </w:trPr>
        <w:tc>
          <w:tcPr>
            <w:tcW w:w="2032" w:type="dxa"/>
            <w:shd w:val="clear" w:color="auto" w:fill="auto"/>
            <w:noWrap/>
            <w:vAlign w:val="center"/>
            <w:hideMark/>
          </w:tcPr>
          <w:p w14:paraId="0D34FF87"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General cargo</w:t>
            </w:r>
          </w:p>
        </w:tc>
        <w:tc>
          <w:tcPr>
            <w:tcW w:w="1654" w:type="dxa"/>
            <w:shd w:val="clear" w:color="auto" w:fill="auto"/>
            <w:noWrap/>
            <w:vAlign w:val="center"/>
            <w:hideMark/>
          </w:tcPr>
          <w:p w14:paraId="453B9E7C"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5000-9999</w:t>
            </w:r>
          </w:p>
        </w:tc>
        <w:tc>
          <w:tcPr>
            <w:tcW w:w="1417" w:type="dxa"/>
            <w:vAlign w:val="bottom"/>
          </w:tcPr>
          <w:p w14:paraId="1B3BC21E"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27.2 / 16.7</w:t>
            </w:r>
          </w:p>
        </w:tc>
        <w:tc>
          <w:tcPr>
            <w:tcW w:w="1418" w:type="dxa"/>
            <w:vAlign w:val="bottom"/>
          </w:tcPr>
          <w:p w14:paraId="5E92CA9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18.2 / 11.1</w:t>
            </w:r>
          </w:p>
        </w:tc>
        <w:tc>
          <w:tcPr>
            <w:tcW w:w="1418" w:type="dxa"/>
            <w:vAlign w:val="bottom"/>
          </w:tcPr>
          <w:p w14:paraId="40721C6E"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9.1 / 5.6</w:t>
            </w:r>
          </w:p>
        </w:tc>
        <w:tc>
          <w:tcPr>
            <w:tcW w:w="857" w:type="dxa"/>
            <w:vAlign w:val="bottom"/>
          </w:tcPr>
          <w:p w14:paraId="74B9762F" w14:textId="48D3A066"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0A54FBD8" w14:textId="77777777" w:rsidTr="003626B3">
        <w:trPr>
          <w:trHeight w:val="59"/>
        </w:trPr>
        <w:tc>
          <w:tcPr>
            <w:tcW w:w="2032" w:type="dxa"/>
            <w:shd w:val="clear" w:color="auto" w:fill="auto"/>
            <w:noWrap/>
            <w:vAlign w:val="center"/>
            <w:hideMark/>
          </w:tcPr>
          <w:p w14:paraId="04A0B2DB"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General cargo</w:t>
            </w:r>
          </w:p>
        </w:tc>
        <w:tc>
          <w:tcPr>
            <w:tcW w:w="1654" w:type="dxa"/>
            <w:shd w:val="clear" w:color="auto" w:fill="auto"/>
            <w:noWrap/>
            <w:vAlign w:val="center"/>
            <w:hideMark/>
          </w:tcPr>
          <w:p w14:paraId="23FA3D0C"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10000-+</w:t>
            </w:r>
          </w:p>
        </w:tc>
        <w:tc>
          <w:tcPr>
            <w:tcW w:w="1417" w:type="dxa"/>
            <w:vAlign w:val="bottom"/>
          </w:tcPr>
          <w:p w14:paraId="5204C5C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24.2 / 13.1</w:t>
            </w:r>
          </w:p>
        </w:tc>
        <w:tc>
          <w:tcPr>
            <w:tcW w:w="1418" w:type="dxa"/>
            <w:vAlign w:val="bottom"/>
          </w:tcPr>
          <w:p w14:paraId="1C23797F"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16.2 / 8.8</w:t>
            </w:r>
          </w:p>
        </w:tc>
        <w:tc>
          <w:tcPr>
            <w:tcW w:w="1418" w:type="dxa"/>
            <w:vAlign w:val="bottom"/>
          </w:tcPr>
          <w:p w14:paraId="17F8C4B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8.1 / 4.4</w:t>
            </w:r>
          </w:p>
        </w:tc>
        <w:tc>
          <w:tcPr>
            <w:tcW w:w="857" w:type="dxa"/>
            <w:vAlign w:val="bottom"/>
          </w:tcPr>
          <w:p w14:paraId="3D9EA60C" w14:textId="6F99AD8B"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1DA3B01E" w14:textId="77777777" w:rsidTr="003626B3">
        <w:trPr>
          <w:trHeight w:val="59"/>
        </w:trPr>
        <w:tc>
          <w:tcPr>
            <w:tcW w:w="2032" w:type="dxa"/>
            <w:shd w:val="clear" w:color="auto" w:fill="auto"/>
            <w:noWrap/>
            <w:vAlign w:val="center"/>
            <w:hideMark/>
          </w:tcPr>
          <w:p w14:paraId="794E4D01"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Other liquid tanker</w:t>
            </w:r>
          </w:p>
        </w:tc>
        <w:tc>
          <w:tcPr>
            <w:tcW w:w="1654" w:type="dxa"/>
            <w:shd w:val="clear" w:color="auto" w:fill="auto"/>
            <w:noWrap/>
            <w:vAlign w:val="center"/>
            <w:hideMark/>
          </w:tcPr>
          <w:p w14:paraId="4BED20C4"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w:t>
            </w:r>
          </w:p>
        </w:tc>
        <w:tc>
          <w:tcPr>
            <w:tcW w:w="1417" w:type="dxa"/>
            <w:vAlign w:val="bottom"/>
          </w:tcPr>
          <w:p w14:paraId="630ECD5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106.6/ 97.6</w:t>
            </w:r>
          </w:p>
        </w:tc>
        <w:tc>
          <w:tcPr>
            <w:tcW w:w="1418" w:type="dxa"/>
            <w:vAlign w:val="bottom"/>
          </w:tcPr>
          <w:p w14:paraId="49E8E0D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71.1 / 65.1</w:t>
            </w:r>
          </w:p>
        </w:tc>
        <w:tc>
          <w:tcPr>
            <w:tcW w:w="1418" w:type="dxa"/>
            <w:vAlign w:val="bottom"/>
          </w:tcPr>
          <w:p w14:paraId="06068E9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35.5 / 32.5</w:t>
            </w:r>
          </w:p>
        </w:tc>
        <w:tc>
          <w:tcPr>
            <w:tcW w:w="857" w:type="dxa"/>
            <w:vAlign w:val="bottom"/>
          </w:tcPr>
          <w:p w14:paraId="4498312F" w14:textId="0ACDD19D"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31CCC573" w14:textId="77777777" w:rsidTr="003626B3">
        <w:trPr>
          <w:trHeight w:val="59"/>
        </w:trPr>
        <w:tc>
          <w:tcPr>
            <w:tcW w:w="2032" w:type="dxa"/>
            <w:shd w:val="clear" w:color="000000" w:fill="FCE4D6"/>
            <w:noWrap/>
            <w:vAlign w:val="center"/>
            <w:hideMark/>
          </w:tcPr>
          <w:p w14:paraId="2BA832C9"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Ferry-pax only*</w:t>
            </w:r>
          </w:p>
        </w:tc>
        <w:tc>
          <w:tcPr>
            <w:tcW w:w="1654" w:type="dxa"/>
            <w:shd w:val="clear" w:color="auto" w:fill="auto"/>
            <w:noWrap/>
            <w:vAlign w:val="center"/>
            <w:hideMark/>
          </w:tcPr>
          <w:p w14:paraId="6EB11239"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0-1999</w:t>
            </w:r>
          </w:p>
        </w:tc>
        <w:tc>
          <w:tcPr>
            <w:tcW w:w="1417" w:type="dxa"/>
            <w:vAlign w:val="bottom"/>
          </w:tcPr>
          <w:p w14:paraId="1A15004F"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1272135.8</w:t>
            </w:r>
          </w:p>
        </w:tc>
        <w:tc>
          <w:tcPr>
            <w:tcW w:w="1418" w:type="dxa"/>
            <w:vAlign w:val="bottom"/>
          </w:tcPr>
          <w:p w14:paraId="32B983E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848090.5</w:t>
            </w:r>
          </w:p>
        </w:tc>
        <w:tc>
          <w:tcPr>
            <w:tcW w:w="1418" w:type="dxa"/>
            <w:vAlign w:val="bottom"/>
          </w:tcPr>
          <w:p w14:paraId="12053CE3"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424045.3</w:t>
            </w:r>
          </w:p>
        </w:tc>
        <w:tc>
          <w:tcPr>
            <w:tcW w:w="857" w:type="dxa"/>
            <w:vAlign w:val="bottom"/>
          </w:tcPr>
          <w:p w14:paraId="6DFD8463" w14:textId="4BCFBD20"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21C759A7" w14:textId="77777777" w:rsidTr="003626B3">
        <w:trPr>
          <w:trHeight w:val="59"/>
        </w:trPr>
        <w:tc>
          <w:tcPr>
            <w:tcW w:w="2032" w:type="dxa"/>
            <w:shd w:val="clear" w:color="000000" w:fill="FCE4D6"/>
            <w:noWrap/>
            <w:vAlign w:val="center"/>
            <w:hideMark/>
          </w:tcPr>
          <w:p w14:paraId="17BF8D71"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Ferry-pax only*</w:t>
            </w:r>
          </w:p>
        </w:tc>
        <w:tc>
          <w:tcPr>
            <w:tcW w:w="1654" w:type="dxa"/>
            <w:shd w:val="clear" w:color="auto" w:fill="auto"/>
            <w:noWrap/>
            <w:vAlign w:val="center"/>
            <w:hideMark/>
          </w:tcPr>
          <w:p w14:paraId="2AA1F887"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2000-+</w:t>
            </w:r>
          </w:p>
        </w:tc>
        <w:tc>
          <w:tcPr>
            <w:tcW w:w="1417" w:type="dxa"/>
            <w:vAlign w:val="bottom"/>
          </w:tcPr>
          <w:p w14:paraId="22C809AB" w14:textId="5B50C9D4"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1740606.6</w:t>
            </w:r>
          </w:p>
        </w:tc>
        <w:tc>
          <w:tcPr>
            <w:tcW w:w="1418" w:type="dxa"/>
            <w:vAlign w:val="bottom"/>
          </w:tcPr>
          <w:p w14:paraId="6F27A88E" w14:textId="455BA581"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1160404.4</w:t>
            </w:r>
          </w:p>
        </w:tc>
        <w:tc>
          <w:tcPr>
            <w:tcW w:w="1418" w:type="dxa"/>
            <w:vAlign w:val="bottom"/>
          </w:tcPr>
          <w:p w14:paraId="5F7A3BB5" w14:textId="67E91762"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580202.2</w:t>
            </w:r>
          </w:p>
        </w:tc>
        <w:tc>
          <w:tcPr>
            <w:tcW w:w="857" w:type="dxa"/>
            <w:vAlign w:val="bottom"/>
          </w:tcPr>
          <w:p w14:paraId="6F516CC9" w14:textId="76D23B1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3D133FBE" w14:textId="77777777" w:rsidTr="003626B3">
        <w:trPr>
          <w:trHeight w:val="59"/>
        </w:trPr>
        <w:tc>
          <w:tcPr>
            <w:tcW w:w="2032" w:type="dxa"/>
            <w:shd w:val="clear" w:color="000000" w:fill="FCE4D6"/>
            <w:noWrap/>
            <w:vAlign w:val="center"/>
            <w:hideMark/>
          </w:tcPr>
          <w:p w14:paraId="77C70E3E"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Cruise*</w:t>
            </w:r>
          </w:p>
        </w:tc>
        <w:tc>
          <w:tcPr>
            <w:tcW w:w="1654" w:type="dxa"/>
            <w:shd w:val="clear" w:color="auto" w:fill="auto"/>
            <w:noWrap/>
            <w:vAlign w:val="center"/>
            <w:hideMark/>
          </w:tcPr>
          <w:p w14:paraId="2A7A51AB"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0-1999</w:t>
            </w:r>
          </w:p>
        </w:tc>
        <w:tc>
          <w:tcPr>
            <w:tcW w:w="1417" w:type="dxa"/>
            <w:vAlign w:val="bottom"/>
          </w:tcPr>
          <w:p w14:paraId="319BCB63" w14:textId="7432FC6A"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2044403.4</w:t>
            </w:r>
          </w:p>
        </w:tc>
        <w:tc>
          <w:tcPr>
            <w:tcW w:w="1418" w:type="dxa"/>
            <w:vAlign w:val="bottom"/>
          </w:tcPr>
          <w:p w14:paraId="40D66CA2" w14:textId="630A6B56"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1362935.6</w:t>
            </w:r>
          </w:p>
        </w:tc>
        <w:tc>
          <w:tcPr>
            <w:tcW w:w="1418" w:type="dxa"/>
            <w:vAlign w:val="bottom"/>
          </w:tcPr>
          <w:p w14:paraId="7D124A41" w14:textId="21C4B3C3"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681467.8</w:t>
            </w:r>
          </w:p>
        </w:tc>
        <w:tc>
          <w:tcPr>
            <w:tcW w:w="857" w:type="dxa"/>
            <w:vAlign w:val="bottom"/>
          </w:tcPr>
          <w:p w14:paraId="41B7A3C9" w14:textId="5833B20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1EB5AA73" w14:textId="77777777" w:rsidTr="003626B3">
        <w:trPr>
          <w:trHeight w:val="59"/>
        </w:trPr>
        <w:tc>
          <w:tcPr>
            <w:tcW w:w="2032" w:type="dxa"/>
            <w:shd w:val="clear" w:color="000000" w:fill="FCE4D6"/>
            <w:noWrap/>
            <w:vAlign w:val="center"/>
            <w:hideMark/>
          </w:tcPr>
          <w:p w14:paraId="2681412E"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Cruise*</w:t>
            </w:r>
          </w:p>
        </w:tc>
        <w:tc>
          <w:tcPr>
            <w:tcW w:w="1654" w:type="dxa"/>
            <w:shd w:val="clear" w:color="auto" w:fill="auto"/>
            <w:noWrap/>
            <w:vAlign w:val="center"/>
            <w:hideMark/>
          </w:tcPr>
          <w:p w14:paraId="47AE3D6E"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2000-9999</w:t>
            </w:r>
          </w:p>
        </w:tc>
        <w:tc>
          <w:tcPr>
            <w:tcW w:w="1417" w:type="dxa"/>
            <w:vAlign w:val="bottom"/>
          </w:tcPr>
          <w:p w14:paraId="027775E3" w14:textId="1230FA70"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1286641.3</w:t>
            </w:r>
          </w:p>
        </w:tc>
        <w:tc>
          <w:tcPr>
            <w:tcW w:w="1418" w:type="dxa"/>
            <w:vAlign w:val="bottom"/>
          </w:tcPr>
          <w:p w14:paraId="3BF23F8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857760.8</w:t>
            </w:r>
          </w:p>
        </w:tc>
        <w:tc>
          <w:tcPr>
            <w:tcW w:w="1418" w:type="dxa"/>
            <w:vAlign w:val="bottom"/>
          </w:tcPr>
          <w:p w14:paraId="577C3BD8" w14:textId="7C044FCF"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428880.4</w:t>
            </w:r>
          </w:p>
        </w:tc>
        <w:tc>
          <w:tcPr>
            <w:tcW w:w="857" w:type="dxa"/>
            <w:vAlign w:val="bottom"/>
          </w:tcPr>
          <w:p w14:paraId="5410AC7A" w14:textId="39C56055"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262F953C" w14:textId="77777777" w:rsidTr="003626B3">
        <w:trPr>
          <w:trHeight w:val="59"/>
        </w:trPr>
        <w:tc>
          <w:tcPr>
            <w:tcW w:w="2032" w:type="dxa"/>
            <w:shd w:val="clear" w:color="000000" w:fill="FCE4D6"/>
            <w:noWrap/>
            <w:vAlign w:val="center"/>
            <w:hideMark/>
          </w:tcPr>
          <w:p w14:paraId="3A58C75C"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Cruise*</w:t>
            </w:r>
          </w:p>
        </w:tc>
        <w:tc>
          <w:tcPr>
            <w:tcW w:w="1654" w:type="dxa"/>
            <w:shd w:val="clear" w:color="auto" w:fill="auto"/>
            <w:noWrap/>
            <w:vAlign w:val="center"/>
            <w:hideMark/>
          </w:tcPr>
          <w:p w14:paraId="7AE4D621"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10000-59999</w:t>
            </w:r>
          </w:p>
        </w:tc>
        <w:tc>
          <w:tcPr>
            <w:tcW w:w="1417" w:type="dxa"/>
            <w:vAlign w:val="bottom"/>
          </w:tcPr>
          <w:p w14:paraId="37F7BBA8" w14:textId="4C76B016"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1495064.7</w:t>
            </w:r>
          </w:p>
        </w:tc>
        <w:tc>
          <w:tcPr>
            <w:tcW w:w="1418" w:type="dxa"/>
            <w:vAlign w:val="bottom"/>
          </w:tcPr>
          <w:p w14:paraId="35E6E5B0" w14:textId="004E0773"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996709.8</w:t>
            </w:r>
          </w:p>
        </w:tc>
        <w:tc>
          <w:tcPr>
            <w:tcW w:w="1418" w:type="dxa"/>
            <w:vAlign w:val="bottom"/>
          </w:tcPr>
          <w:p w14:paraId="7606599D" w14:textId="4C8076E2"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498354.9</w:t>
            </w:r>
          </w:p>
        </w:tc>
        <w:tc>
          <w:tcPr>
            <w:tcW w:w="857" w:type="dxa"/>
            <w:vAlign w:val="bottom"/>
          </w:tcPr>
          <w:p w14:paraId="6CA8E394" w14:textId="7D747405"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4F467454" w14:textId="77777777" w:rsidTr="003626B3">
        <w:trPr>
          <w:trHeight w:val="59"/>
        </w:trPr>
        <w:tc>
          <w:tcPr>
            <w:tcW w:w="2032" w:type="dxa"/>
            <w:shd w:val="clear" w:color="000000" w:fill="FCE4D6"/>
            <w:noWrap/>
            <w:vAlign w:val="center"/>
            <w:hideMark/>
          </w:tcPr>
          <w:p w14:paraId="0A7CEB01"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Cruise*</w:t>
            </w:r>
          </w:p>
        </w:tc>
        <w:tc>
          <w:tcPr>
            <w:tcW w:w="1654" w:type="dxa"/>
            <w:shd w:val="clear" w:color="auto" w:fill="auto"/>
            <w:noWrap/>
            <w:vAlign w:val="center"/>
            <w:hideMark/>
          </w:tcPr>
          <w:p w14:paraId="75502E6C"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60000-99999</w:t>
            </w:r>
          </w:p>
        </w:tc>
        <w:tc>
          <w:tcPr>
            <w:tcW w:w="1417" w:type="dxa"/>
            <w:vAlign w:val="bottom"/>
          </w:tcPr>
          <w:p w14:paraId="2011D3C2" w14:textId="775D871A"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1738613.6</w:t>
            </w:r>
          </w:p>
        </w:tc>
        <w:tc>
          <w:tcPr>
            <w:tcW w:w="1418" w:type="dxa"/>
            <w:vAlign w:val="bottom"/>
          </w:tcPr>
          <w:p w14:paraId="66F569F4" w14:textId="5A14F83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1159075.7</w:t>
            </w:r>
          </w:p>
        </w:tc>
        <w:tc>
          <w:tcPr>
            <w:tcW w:w="1418" w:type="dxa"/>
            <w:vAlign w:val="bottom"/>
          </w:tcPr>
          <w:p w14:paraId="6FEEA37C" w14:textId="718334E9"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579537.9</w:t>
            </w:r>
          </w:p>
        </w:tc>
        <w:tc>
          <w:tcPr>
            <w:tcW w:w="857" w:type="dxa"/>
            <w:vAlign w:val="bottom"/>
          </w:tcPr>
          <w:p w14:paraId="3102B0D4" w14:textId="7F99A5D1"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43E8C57C" w14:textId="77777777" w:rsidTr="003626B3">
        <w:trPr>
          <w:trHeight w:val="59"/>
        </w:trPr>
        <w:tc>
          <w:tcPr>
            <w:tcW w:w="2032" w:type="dxa"/>
            <w:shd w:val="clear" w:color="000000" w:fill="FCE4D6"/>
            <w:noWrap/>
            <w:vAlign w:val="center"/>
            <w:hideMark/>
          </w:tcPr>
          <w:p w14:paraId="5CE9A703"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Cruise*</w:t>
            </w:r>
          </w:p>
        </w:tc>
        <w:tc>
          <w:tcPr>
            <w:tcW w:w="1654" w:type="dxa"/>
            <w:shd w:val="clear" w:color="auto" w:fill="auto"/>
            <w:noWrap/>
            <w:vAlign w:val="center"/>
            <w:hideMark/>
          </w:tcPr>
          <w:p w14:paraId="0AB8F888"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100000-+</w:t>
            </w:r>
          </w:p>
        </w:tc>
        <w:tc>
          <w:tcPr>
            <w:tcW w:w="1417" w:type="dxa"/>
            <w:vAlign w:val="bottom"/>
          </w:tcPr>
          <w:p w14:paraId="75233618" w14:textId="5191D42A"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1337274.9</w:t>
            </w:r>
          </w:p>
        </w:tc>
        <w:tc>
          <w:tcPr>
            <w:tcW w:w="1418" w:type="dxa"/>
            <w:vAlign w:val="bottom"/>
          </w:tcPr>
          <w:p w14:paraId="62DF3BDD"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891516.6</w:t>
            </w:r>
          </w:p>
        </w:tc>
        <w:tc>
          <w:tcPr>
            <w:tcW w:w="1418" w:type="dxa"/>
            <w:vAlign w:val="bottom"/>
          </w:tcPr>
          <w:p w14:paraId="290884F3" w14:textId="62854378"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445758.3</w:t>
            </w:r>
          </w:p>
        </w:tc>
        <w:tc>
          <w:tcPr>
            <w:tcW w:w="857" w:type="dxa"/>
            <w:vAlign w:val="bottom"/>
          </w:tcPr>
          <w:p w14:paraId="46E114D3" w14:textId="4FEBED66"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5A915441" w14:textId="77777777" w:rsidTr="003626B3">
        <w:trPr>
          <w:trHeight w:val="59"/>
        </w:trPr>
        <w:tc>
          <w:tcPr>
            <w:tcW w:w="2032" w:type="dxa"/>
            <w:shd w:val="clear" w:color="000000" w:fill="FCE4D6"/>
            <w:noWrap/>
            <w:vAlign w:val="center"/>
            <w:hideMark/>
          </w:tcPr>
          <w:p w14:paraId="53ECEFED"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Ferry-</w:t>
            </w:r>
            <w:proofErr w:type="spellStart"/>
            <w:r w:rsidRPr="00AB3073">
              <w:rPr>
                <w:rFonts w:cstheme="minorHAnsi"/>
                <w:sz w:val="22"/>
                <w:szCs w:val="22"/>
                <w:lang w:eastAsia="en-GB"/>
              </w:rPr>
              <w:t>RoPax</w:t>
            </w:r>
            <w:proofErr w:type="spellEnd"/>
            <w:r w:rsidRPr="00AB3073">
              <w:rPr>
                <w:rFonts w:cstheme="minorHAnsi"/>
                <w:sz w:val="22"/>
                <w:szCs w:val="22"/>
                <w:lang w:eastAsia="en-GB"/>
              </w:rPr>
              <w:t>*</w:t>
            </w:r>
          </w:p>
        </w:tc>
        <w:tc>
          <w:tcPr>
            <w:tcW w:w="1654" w:type="dxa"/>
            <w:shd w:val="clear" w:color="auto" w:fill="auto"/>
            <w:noWrap/>
            <w:vAlign w:val="center"/>
            <w:hideMark/>
          </w:tcPr>
          <w:p w14:paraId="43BD34AF"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0-1999</w:t>
            </w:r>
          </w:p>
        </w:tc>
        <w:tc>
          <w:tcPr>
            <w:tcW w:w="1417" w:type="dxa"/>
            <w:vAlign w:val="bottom"/>
          </w:tcPr>
          <w:p w14:paraId="4C9AF26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822123.9</w:t>
            </w:r>
          </w:p>
        </w:tc>
        <w:tc>
          <w:tcPr>
            <w:tcW w:w="1418" w:type="dxa"/>
            <w:vAlign w:val="bottom"/>
          </w:tcPr>
          <w:p w14:paraId="6F51D7D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548082.6</w:t>
            </w:r>
          </w:p>
        </w:tc>
        <w:tc>
          <w:tcPr>
            <w:tcW w:w="1418" w:type="dxa"/>
            <w:vAlign w:val="bottom"/>
          </w:tcPr>
          <w:p w14:paraId="31D25A6D" w14:textId="2D7A483C"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274041.3</w:t>
            </w:r>
          </w:p>
        </w:tc>
        <w:tc>
          <w:tcPr>
            <w:tcW w:w="857" w:type="dxa"/>
            <w:vAlign w:val="bottom"/>
          </w:tcPr>
          <w:p w14:paraId="6DE3E33C" w14:textId="64785D0A"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7F63F730" w14:textId="77777777" w:rsidTr="003626B3">
        <w:trPr>
          <w:trHeight w:val="59"/>
        </w:trPr>
        <w:tc>
          <w:tcPr>
            <w:tcW w:w="2032" w:type="dxa"/>
            <w:shd w:val="clear" w:color="000000" w:fill="FCE4D6"/>
            <w:noWrap/>
            <w:vAlign w:val="center"/>
            <w:hideMark/>
          </w:tcPr>
          <w:p w14:paraId="145A2B57"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Ferry-</w:t>
            </w:r>
            <w:proofErr w:type="spellStart"/>
            <w:r w:rsidRPr="00AB3073">
              <w:rPr>
                <w:rFonts w:cstheme="minorHAnsi"/>
                <w:sz w:val="22"/>
                <w:szCs w:val="22"/>
                <w:lang w:eastAsia="en-GB"/>
              </w:rPr>
              <w:t>RoPax</w:t>
            </w:r>
            <w:proofErr w:type="spellEnd"/>
            <w:r w:rsidRPr="00AB3073">
              <w:rPr>
                <w:rFonts w:cstheme="minorHAnsi"/>
                <w:sz w:val="22"/>
                <w:szCs w:val="22"/>
                <w:lang w:eastAsia="en-GB"/>
              </w:rPr>
              <w:t>*</w:t>
            </w:r>
          </w:p>
        </w:tc>
        <w:tc>
          <w:tcPr>
            <w:tcW w:w="1654" w:type="dxa"/>
            <w:shd w:val="clear" w:color="auto" w:fill="auto"/>
            <w:noWrap/>
            <w:vAlign w:val="center"/>
            <w:hideMark/>
          </w:tcPr>
          <w:p w14:paraId="623D6765"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2000-+</w:t>
            </w:r>
          </w:p>
        </w:tc>
        <w:tc>
          <w:tcPr>
            <w:tcW w:w="1417" w:type="dxa"/>
            <w:vAlign w:val="bottom"/>
          </w:tcPr>
          <w:p w14:paraId="68B46FC5" w14:textId="4731E004"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1137003.8</w:t>
            </w:r>
          </w:p>
        </w:tc>
        <w:tc>
          <w:tcPr>
            <w:tcW w:w="1418" w:type="dxa"/>
            <w:vAlign w:val="bottom"/>
          </w:tcPr>
          <w:p w14:paraId="6D30CFDA"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758002.5</w:t>
            </w:r>
          </w:p>
        </w:tc>
        <w:tc>
          <w:tcPr>
            <w:tcW w:w="1418" w:type="dxa"/>
            <w:vAlign w:val="bottom"/>
          </w:tcPr>
          <w:p w14:paraId="04A2BEA2"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379001.3</w:t>
            </w:r>
          </w:p>
        </w:tc>
        <w:tc>
          <w:tcPr>
            <w:tcW w:w="857" w:type="dxa"/>
            <w:vAlign w:val="bottom"/>
          </w:tcPr>
          <w:p w14:paraId="7277F7A2" w14:textId="5203D303"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29757BEC" w14:textId="77777777" w:rsidTr="003626B3">
        <w:trPr>
          <w:trHeight w:val="59"/>
        </w:trPr>
        <w:tc>
          <w:tcPr>
            <w:tcW w:w="2032" w:type="dxa"/>
            <w:shd w:val="clear" w:color="auto" w:fill="auto"/>
            <w:noWrap/>
            <w:vAlign w:val="center"/>
            <w:hideMark/>
          </w:tcPr>
          <w:p w14:paraId="390ED7A9"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Refrigerated bulk</w:t>
            </w:r>
          </w:p>
        </w:tc>
        <w:tc>
          <w:tcPr>
            <w:tcW w:w="1654" w:type="dxa"/>
            <w:shd w:val="clear" w:color="auto" w:fill="auto"/>
            <w:noWrap/>
            <w:vAlign w:val="center"/>
            <w:hideMark/>
          </w:tcPr>
          <w:p w14:paraId="0974458A"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0-1999</w:t>
            </w:r>
          </w:p>
        </w:tc>
        <w:tc>
          <w:tcPr>
            <w:tcW w:w="1417" w:type="dxa"/>
            <w:vAlign w:val="bottom"/>
          </w:tcPr>
          <w:p w14:paraId="4C9C7C20"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72.8 / 48.7</w:t>
            </w:r>
          </w:p>
        </w:tc>
        <w:tc>
          <w:tcPr>
            <w:tcW w:w="1418" w:type="dxa"/>
            <w:vAlign w:val="bottom"/>
          </w:tcPr>
          <w:p w14:paraId="2A52ABE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48.5 / 32.5</w:t>
            </w:r>
          </w:p>
        </w:tc>
        <w:tc>
          <w:tcPr>
            <w:tcW w:w="1418" w:type="dxa"/>
            <w:vAlign w:val="bottom"/>
          </w:tcPr>
          <w:p w14:paraId="409A3D7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24.3 / 16.2</w:t>
            </w:r>
          </w:p>
        </w:tc>
        <w:tc>
          <w:tcPr>
            <w:tcW w:w="857" w:type="dxa"/>
            <w:vAlign w:val="bottom"/>
          </w:tcPr>
          <w:p w14:paraId="78352265" w14:textId="0F8D26AF"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47FEAF72" w14:textId="77777777" w:rsidTr="003626B3">
        <w:trPr>
          <w:trHeight w:val="104"/>
        </w:trPr>
        <w:tc>
          <w:tcPr>
            <w:tcW w:w="2032" w:type="dxa"/>
            <w:shd w:val="clear" w:color="auto" w:fill="auto"/>
            <w:noWrap/>
            <w:vAlign w:val="center"/>
            <w:hideMark/>
          </w:tcPr>
          <w:p w14:paraId="1B1FD0B2"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Ro-Ro</w:t>
            </w:r>
          </w:p>
        </w:tc>
        <w:tc>
          <w:tcPr>
            <w:tcW w:w="1654" w:type="dxa"/>
            <w:shd w:val="clear" w:color="auto" w:fill="auto"/>
            <w:noWrap/>
            <w:vAlign w:val="center"/>
            <w:hideMark/>
          </w:tcPr>
          <w:p w14:paraId="2E960CD7"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0-4999</w:t>
            </w:r>
          </w:p>
        </w:tc>
        <w:tc>
          <w:tcPr>
            <w:tcW w:w="1417" w:type="dxa"/>
            <w:vAlign w:val="bottom"/>
          </w:tcPr>
          <w:p w14:paraId="4D775538"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258.2 / 212.4</w:t>
            </w:r>
          </w:p>
        </w:tc>
        <w:tc>
          <w:tcPr>
            <w:tcW w:w="1418" w:type="dxa"/>
            <w:vAlign w:val="bottom"/>
          </w:tcPr>
          <w:p w14:paraId="760D1943"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172.1 / 141.6</w:t>
            </w:r>
          </w:p>
        </w:tc>
        <w:tc>
          <w:tcPr>
            <w:tcW w:w="1418" w:type="dxa"/>
            <w:vAlign w:val="bottom"/>
          </w:tcPr>
          <w:p w14:paraId="6F8F09F6"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86.1 / 70.8</w:t>
            </w:r>
          </w:p>
        </w:tc>
        <w:tc>
          <w:tcPr>
            <w:tcW w:w="857" w:type="dxa"/>
            <w:vAlign w:val="bottom"/>
          </w:tcPr>
          <w:p w14:paraId="5D7E0E7D" w14:textId="7D79C2D2"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241ACD5A" w14:textId="77777777" w:rsidTr="003626B3">
        <w:trPr>
          <w:trHeight w:val="59"/>
        </w:trPr>
        <w:tc>
          <w:tcPr>
            <w:tcW w:w="2032" w:type="dxa"/>
            <w:shd w:val="clear" w:color="auto" w:fill="auto"/>
            <w:noWrap/>
            <w:vAlign w:val="center"/>
            <w:hideMark/>
          </w:tcPr>
          <w:p w14:paraId="109D80AF"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Ro-Ro</w:t>
            </w:r>
          </w:p>
        </w:tc>
        <w:tc>
          <w:tcPr>
            <w:tcW w:w="1654" w:type="dxa"/>
            <w:shd w:val="clear" w:color="auto" w:fill="auto"/>
            <w:noWrap/>
            <w:vAlign w:val="center"/>
            <w:hideMark/>
          </w:tcPr>
          <w:p w14:paraId="055E6C01"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5000-+</w:t>
            </w:r>
          </w:p>
        </w:tc>
        <w:tc>
          <w:tcPr>
            <w:tcW w:w="1417" w:type="dxa"/>
            <w:vAlign w:val="bottom"/>
          </w:tcPr>
          <w:p w14:paraId="12621F3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63.9 / 45.9</w:t>
            </w:r>
          </w:p>
        </w:tc>
        <w:tc>
          <w:tcPr>
            <w:tcW w:w="1418" w:type="dxa"/>
            <w:vAlign w:val="bottom"/>
          </w:tcPr>
          <w:p w14:paraId="5953FA9C"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42.6 / 30.6</w:t>
            </w:r>
          </w:p>
        </w:tc>
        <w:tc>
          <w:tcPr>
            <w:tcW w:w="1418" w:type="dxa"/>
            <w:vAlign w:val="bottom"/>
          </w:tcPr>
          <w:p w14:paraId="05C2220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21.3 / 15.3</w:t>
            </w:r>
          </w:p>
        </w:tc>
        <w:tc>
          <w:tcPr>
            <w:tcW w:w="857" w:type="dxa"/>
            <w:vAlign w:val="bottom"/>
          </w:tcPr>
          <w:p w14:paraId="039FCA26" w14:textId="3BE79224"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02E3C54A" w14:textId="77777777" w:rsidTr="003626B3">
        <w:trPr>
          <w:trHeight w:val="59"/>
        </w:trPr>
        <w:tc>
          <w:tcPr>
            <w:tcW w:w="2032" w:type="dxa"/>
            <w:shd w:val="clear" w:color="auto" w:fill="auto"/>
            <w:noWrap/>
            <w:vAlign w:val="center"/>
            <w:hideMark/>
          </w:tcPr>
          <w:p w14:paraId="3344BC5B"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Vehicle</w:t>
            </w:r>
          </w:p>
        </w:tc>
        <w:tc>
          <w:tcPr>
            <w:tcW w:w="1654" w:type="dxa"/>
            <w:shd w:val="clear" w:color="auto" w:fill="auto"/>
            <w:noWrap/>
            <w:vAlign w:val="center"/>
            <w:hideMark/>
          </w:tcPr>
          <w:p w14:paraId="6EFAAD8C"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0-3999</w:t>
            </w:r>
          </w:p>
        </w:tc>
        <w:tc>
          <w:tcPr>
            <w:tcW w:w="1417" w:type="dxa"/>
            <w:vAlign w:val="bottom"/>
          </w:tcPr>
          <w:p w14:paraId="21E0C06F"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124.7 / 46</w:t>
            </w:r>
          </w:p>
        </w:tc>
        <w:tc>
          <w:tcPr>
            <w:tcW w:w="1418" w:type="dxa"/>
            <w:vAlign w:val="bottom"/>
          </w:tcPr>
          <w:p w14:paraId="46431D71"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83.2 / 30.7</w:t>
            </w:r>
          </w:p>
        </w:tc>
        <w:tc>
          <w:tcPr>
            <w:tcW w:w="1418" w:type="dxa"/>
            <w:vAlign w:val="bottom"/>
          </w:tcPr>
          <w:p w14:paraId="17CD5DF5"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41.6 / 15.3</w:t>
            </w:r>
          </w:p>
        </w:tc>
        <w:tc>
          <w:tcPr>
            <w:tcW w:w="857" w:type="dxa"/>
            <w:vAlign w:val="bottom"/>
          </w:tcPr>
          <w:p w14:paraId="3C9A34AE" w14:textId="1A802548"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r w:rsidR="00E516E6" w:rsidRPr="00AB3073" w14:paraId="708C4711" w14:textId="77777777" w:rsidTr="003626B3">
        <w:trPr>
          <w:trHeight w:val="59"/>
        </w:trPr>
        <w:tc>
          <w:tcPr>
            <w:tcW w:w="2032" w:type="dxa"/>
            <w:shd w:val="clear" w:color="auto" w:fill="auto"/>
            <w:noWrap/>
            <w:vAlign w:val="center"/>
            <w:hideMark/>
          </w:tcPr>
          <w:p w14:paraId="771465B2"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Vehicle</w:t>
            </w:r>
          </w:p>
        </w:tc>
        <w:tc>
          <w:tcPr>
            <w:tcW w:w="1654" w:type="dxa"/>
            <w:shd w:val="clear" w:color="auto" w:fill="auto"/>
            <w:noWrap/>
            <w:vAlign w:val="center"/>
            <w:hideMark/>
          </w:tcPr>
          <w:p w14:paraId="648E583F" w14:textId="77777777" w:rsidR="00E516E6" w:rsidRPr="00AB3073" w:rsidRDefault="00E516E6" w:rsidP="00E516E6">
            <w:pPr>
              <w:pStyle w:val="NoSpacing"/>
              <w:rPr>
                <w:rFonts w:cstheme="minorHAnsi"/>
                <w:sz w:val="22"/>
                <w:szCs w:val="22"/>
                <w:lang w:eastAsia="en-GB"/>
              </w:rPr>
            </w:pPr>
            <w:r w:rsidRPr="00AB3073">
              <w:rPr>
                <w:rFonts w:cstheme="minorHAnsi"/>
                <w:sz w:val="22"/>
                <w:szCs w:val="22"/>
                <w:lang w:eastAsia="en-GB"/>
              </w:rPr>
              <w:t>4000-+</w:t>
            </w:r>
          </w:p>
        </w:tc>
        <w:tc>
          <w:tcPr>
            <w:tcW w:w="1417" w:type="dxa"/>
            <w:vAlign w:val="bottom"/>
          </w:tcPr>
          <w:p w14:paraId="43DC6019"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58.1 / 13.8</w:t>
            </w:r>
          </w:p>
        </w:tc>
        <w:tc>
          <w:tcPr>
            <w:tcW w:w="1418" w:type="dxa"/>
            <w:vAlign w:val="bottom"/>
          </w:tcPr>
          <w:p w14:paraId="785F788B"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38.7 / 9.2</w:t>
            </w:r>
          </w:p>
        </w:tc>
        <w:tc>
          <w:tcPr>
            <w:tcW w:w="1418" w:type="dxa"/>
            <w:vAlign w:val="bottom"/>
          </w:tcPr>
          <w:p w14:paraId="01A0680F" w14:textId="77777777"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19.4 / 4.6</w:t>
            </w:r>
          </w:p>
        </w:tc>
        <w:tc>
          <w:tcPr>
            <w:tcW w:w="857" w:type="dxa"/>
            <w:vAlign w:val="bottom"/>
          </w:tcPr>
          <w:p w14:paraId="01C4A8CC" w14:textId="76DB6F7B" w:rsidR="00E516E6" w:rsidRPr="00AB3073" w:rsidRDefault="00E516E6" w:rsidP="00E516E6">
            <w:pPr>
              <w:pStyle w:val="NoSpacing"/>
              <w:jc w:val="center"/>
              <w:rPr>
                <w:rFonts w:cstheme="minorHAnsi"/>
                <w:sz w:val="22"/>
                <w:szCs w:val="22"/>
                <w:lang w:eastAsia="en-GB"/>
              </w:rPr>
            </w:pPr>
            <w:r w:rsidRPr="00AB3073">
              <w:rPr>
                <w:rFonts w:cstheme="minorHAnsi"/>
                <w:sz w:val="22"/>
                <w:szCs w:val="22"/>
                <w:lang w:eastAsia="en-GB"/>
              </w:rPr>
              <w:t>0</w:t>
            </w:r>
          </w:p>
        </w:tc>
      </w:tr>
    </w:tbl>
    <w:p w14:paraId="07AD2022" w14:textId="58F5AD0B" w:rsidR="00E00DF5" w:rsidRDefault="000D2E60" w:rsidP="00E00DF5">
      <w:r>
        <w:t>*</w:t>
      </w:r>
      <w:r w:rsidRPr="00231C8F">
        <w:t xml:space="preserve">For Ferry-pax only, Cruise, and Ferry </w:t>
      </w:r>
      <w:proofErr w:type="spellStart"/>
      <w:r w:rsidRPr="00231C8F">
        <w:t>RoPax</w:t>
      </w:r>
      <w:proofErr w:type="spellEnd"/>
      <w:r w:rsidRPr="00231C8F">
        <w:t>, the denominator is GT</w:t>
      </w:r>
      <w:r w:rsidR="005213AD">
        <w:t>*nm</w:t>
      </w:r>
      <w:r w:rsidRPr="00231C8F">
        <w:t xml:space="preserve"> instead of </w:t>
      </w:r>
      <w:proofErr w:type="spellStart"/>
      <w:r w:rsidRPr="00231C8F">
        <w:t>tnm</w:t>
      </w:r>
      <w:proofErr w:type="spellEnd"/>
      <w:r w:rsidRPr="00231C8F">
        <w:t>.</w:t>
      </w:r>
    </w:p>
    <w:p w14:paraId="17BF3D33" w14:textId="74D27FFF" w:rsidR="00721D0F" w:rsidRDefault="00721D0F" w:rsidP="00E00DF5">
      <w:r>
        <w:br w:type="page"/>
      </w:r>
    </w:p>
    <w:p w14:paraId="3707C1AC" w14:textId="25307200" w:rsidR="00872A34" w:rsidRDefault="00C735AA" w:rsidP="00E00DF5">
      <w:pPr>
        <w:pStyle w:val="Heading1"/>
      </w:pPr>
      <w:bookmarkStart w:id="9" w:name="_Toc37692165"/>
      <w:r>
        <w:lastRenderedPageBreak/>
        <w:t xml:space="preserve">Annex 2. </w:t>
      </w:r>
      <w:r w:rsidR="00872A34" w:rsidRPr="00872A34">
        <w:t>TWG and IWG Members</w:t>
      </w:r>
      <w:bookmarkEnd w:id="9"/>
    </w:p>
    <w:p w14:paraId="2D088AB1" w14:textId="77777777" w:rsidR="00E00DF5" w:rsidRDefault="00E00DF5" w:rsidP="009205FE">
      <w:pPr>
        <w:rPr>
          <w:sz w:val="22"/>
          <w:szCs w:val="22"/>
        </w:rPr>
      </w:pPr>
    </w:p>
    <w:p w14:paraId="46ECFF09" w14:textId="49113BC6" w:rsidR="005A16DF" w:rsidRPr="006931BD" w:rsidRDefault="00872A34" w:rsidP="00171003">
      <w:pPr>
        <w:tabs>
          <w:tab w:val="center" w:pos="4510"/>
        </w:tabs>
        <w:rPr>
          <w:b/>
          <w:bCs/>
          <w:sz w:val="22"/>
          <w:szCs w:val="22"/>
        </w:rPr>
      </w:pPr>
      <w:r w:rsidRPr="006931BD">
        <w:rPr>
          <w:rFonts w:hint="cs"/>
          <w:b/>
          <w:bCs/>
          <w:sz w:val="22"/>
          <w:szCs w:val="22"/>
        </w:rPr>
        <w:t>Lead Consultant</w:t>
      </w:r>
      <w:r w:rsidR="005A16DF" w:rsidRPr="006931BD">
        <w:rPr>
          <w:b/>
          <w:bCs/>
          <w:sz w:val="22"/>
          <w:szCs w:val="22"/>
        </w:rPr>
        <w:t>s</w:t>
      </w:r>
      <w:r w:rsidRPr="006931BD">
        <w:rPr>
          <w:rFonts w:hint="cs"/>
          <w:b/>
          <w:bCs/>
          <w:sz w:val="22"/>
          <w:szCs w:val="22"/>
        </w:rPr>
        <w:t>:</w:t>
      </w:r>
      <w:r w:rsidRPr="006931BD">
        <w:rPr>
          <w:b/>
          <w:bCs/>
          <w:sz w:val="22"/>
          <w:szCs w:val="22"/>
        </w:rPr>
        <w:t xml:space="preserve"> </w:t>
      </w:r>
      <w:r w:rsidR="00171003">
        <w:rPr>
          <w:b/>
          <w:bCs/>
          <w:sz w:val="22"/>
          <w:szCs w:val="22"/>
        </w:rPr>
        <w:tab/>
      </w:r>
    </w:p>
    <w:p w14:paraId="493F6764" w14:textId="1608E446" w:rsidR="00872A34" w:rsidRPr="006931BD" w:rsidRDefault="00872A34" w:rsidP="009205FE">
      <w:pPr>
        <w:rPr>
          <w:sz w:val="22"/>
          <w:szCs w:val="22"/>
        </w:rPr>
      </w:pPr>
      <w:r w:rsidRPr="006931BD">
        <w:rPr>
          <w:sz w:val="22"/>
          <w:szCs w:val="22"/>
        </w:rPr>
        <w:t xml:space="preserve">Tristan Smith, </w:t>
      </w:r>
      <w:r w:rsidR="00DF0AC2">
        <w:rPr>
          <w:sz w:val="22"/>
          <w:szCs w:val="22"/>
        </w:rPr>
        <w:t xml:space="preserve">University Maritime Advisory Services International </w:t>
      </w:r>
    </w:p>
    <w:p w14:paraId="1F347B59" w14:textId="1AFF09C2" w:rsidR="00872A34" w:rsidRPr="006931BD" w:rsidRDefault="00872A34" w:rsidP="00E00DF5">
      <w:pPr>
        <w:jc w:val="left"/>
        <w:rPr>
          <w:sz w:val="22"/>
          <w:szCs w:val="22"/>
        </w:rPr>
      </w:pPr>
      <w:r w:rsidRPr="006931BD">
        <w:rPr>
          <w:sz w:val="22"/>
          <w:szCs w:val="22"/>
        </w:rPr>
        <w:t xml:space="preserve">Sophie Parker, </w:t>
      </w:r>
      <w:r w:rsidR="00DF0AC2">
        <w:rPr>
          <w:sz w:val="22"/>
          <w:szCs w:val="22"/>
        </w:rPr>
        <w:t>University Maritime Advisory Services International</w:t>
      </w:r>
      <w:r w:rsidRPr="006931BD">
        <w:rPr>
          <w:rFonts w:hint="cs"/>
          <w:sz w:val="22"/>
          <w:szCs w:val="22"/>
        </w:rPr>
        <w:br/>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83"/>
      </w:tblGrid>
      <w:tr w:rsidR="00872A34" w:rsidRPr="006931BD" w14:paraId="33D3954C" w14:textId="77777777" w:rsidTr="006E1296">
        <w:trPr>
          <w:trHeight w:val="5340"/>
        </w:trPr>
        <w:tc>
          <w:tcPr>
            <w:tcW w:w="4815" w:type="dxa"/>
          </w:tcPr>
          <w:p w14:paraId="23801CF0" w14:textId="77777777" w:rsidR="00EB4EEF" w:rsidRPr="006931BD" w:rsidRDefault="00EB4EEF" w:rsidP="00EB4EEF">
            <w:pPr>
              <w:rPr>
                <w:rFonts w:asciiTheme="minorHAnsi" w:hAnsiTheme="minorHAnsi"/>
                <w:b/>
                <w:bCs/>
                <w:sz w:val="22"/>
                <w:szCs w:val="22"/>
              </w:rPr>
            </w:pPr>
            <w:r w:rsidRPr="006931BD">
              <w:rPr>
                <w:rFonts w:asciiTheme="minorHAnsi" w:hAnsiTheme="minorHAnsi"/>
                <w:b/>
                <w:bCs/>
                <w:sz w:val="22"/>
                <w:szCs w:val="22"/>
              </w:rPr>
              <w:t>Adaptation &amp; Resilience Experts:</w:t>
            </w:r>
          </w:p>
          <w:p w14:paraId="04E2E6C7" w14:textId="77777777" w:rsidR="00EB4EEF" w:rsidRPr="006931BD" w:rsidRDefault="00EB4EEF" w:rsidP="00EB4EEF">
            <w:pPr>
              <w:rPr>
                <w:rFonts w:asciiTheme="minorHAnsi" w:hAnsiTheme="minorHAnsi"/>
                <w:sz w:val="22"/>
                <w:szCs w:val="22"/>
              </w:rPr>
            </w:pPr>
            <w:r w:rsidRPr="006931BD">
              <w:rPr>
                <w:rFonts w:asciiTheme="minorHAnsi" w:hAnsiTheme="minorHAnsi"/>
                <w:sz w:val="22"/>
                <w:szCs w:val="22"/>
              </w:rPr>
              <w:t>Adolf Ng, University of Manitoba</w:t>
            </w:r>
          </w:p>
          <w:p w14:paraId="2BFFA3AB" w14:textId="77777777" w:rsidR="00EB4EEF" w:rsidRPr="006931BD" w:rsidRDefault="00EB4EEF" w:rsidP="00EB4EEF">
            <w:pPr>
              <w:rPr>
                <w:rFonts w:asciiTheme="minorHAnsi" w:hAnsiTheme="minorHAnsi"/>
                <w:sz w:val="22"/>
                <w:szCs w:val="22"/>
              </w:rPr>
            </w:pPr>
            <w:proofErr w:type="spellStart"/>
            <w:r w:rsidRPr="006931BD">
              <w:rPr>
                <w:rFonts w:asciiTheme="minorHAnsi" w:hAnsiTheme="minorHAnsi"/>
                <w:sz w:val="22"/>
                <w:szCs w:val="22"/>
              </w:rPr>
              <w:t>Mawuli</w:t>
            </w:r>
            <w:proofErr w:type="spellEnd"/>
            <w:r w:rsidRPr="006931BD">
              <w:rPr>
                <w:rFonts w:asciiTheme="minorHAnsi" w:hAnsiTheme="minorHAnsi"/>
                <w:sz w:val="22"/>
                <w:szCs w:val="22"/>
              </w:rPr>
              <w:t xml:space="preserve"> </w:t>
            </w:r>
            <w:proofErr w:type="spellStart"/>
            <w:r w:rsidRPr="006931BD">
              <w:rPr>
                <w:rFonts w:asciiTheme="minorHAnsi" w:hAnsiTheme="minorHAnsi"/>
                <w:sz w:val="22"/>
                <w:szCs w:val="22"/>
              </w:rPr>
              <w:t>Afenyo</w:t>
            </w:r>
            <w:proofErr w:type="spellEnd"/>
            <w:r w:rsidRPr="006931BD">
              <w:rPr>
                <w:rFonts w:asciiTheme="minorHAnsi" w:hAnsiTheme="minorHAnsi"/>
                <w:sz w:val="22"/>
                <w:szCs w:val="22"/>
              </w:rPr>
              <w:t xml:space="preserve">, University of Manitoba </w:t>
            </w:r>
          </w:p>
          <w:p w14:paraId="0FBC0DA1" w14:textId="745996EB" w:rsidR="00EB4EEF" w:rsidRPr="006931BD" w:rsidRDefault="00EB4EEF" w:rsidP="00EB4EEF">
            <w:pPr>
              <w:rPr>
                <w:rFonts w:asciiTheme="minorHAnsi" w:hAnsiTheme="minorHAnsi"/>
                <w:sz w:val="22"/>
                <w:szCs w:val="22"/>
              </w:rPr>
            </w:pPr>
            <w:proofErr w:type="spellStart"/>
            <w:r w:rsidRPr="006931BD">
              <w:rPr>
                <w:rFonts w:asciiTheme="minorHAnsi" w:hAnsiTheme="minorHAnsi"/>
                <w:sz w:val="22"/>
                <w:szCs w:val="22"/>
              </w:rPr>
              <w:t>Roozbeh</w:t>
            </w:r>
            <w:proofErr w:type="spellEnd"/>
            <w:r w:rsidRPr="006931BD">
              <w:rPr>
                <w:rFonts w:asciiTheme="minorHAnsi" w:hAnsiTheme="minorHAnsi"/>
                <w:sz w:val="22"/>
                <w:szCs w:val="22"/>
              </w:rPr>
              <w:t xml:space="preserve"> Panahi, University of Manitoba </w:t>
            </w:r>
          </w:p>
          <w:p w14:paraId="3B6CBBCE" w14:textId="093698FD" w:rsidR="00872A34" w:rsidRPr="006931BD" w:rsidRDefault="00EB4EEF" w:rsidP="00EB4EEF">
            <w:pPr>
              <w:jc w:val="left"/>
              <w:rPr>
                <w:rFonts w:asciiTheme="minorHAnsi" w:hAnsiTheme="minorHAnsi"/>
                <w:b/>
                <w:bCs/>
                <w:sz w:val="22"/>
                <w:szCs w:val="22"/>
              </w:rPr>
            </w:pPr>
            <w:r w:rsidRPr="006931BD">
              <w:rPr>
                <w:rFonts w:asciiTheme="minorHAnsi" w:hAnsiTheme="minorHAnsi"/>
                <w:b/>
                <w:bCs/>
                <w:sz w:val="22"/>
                <w:szCs w:val="22"/>
              </w:rPr>
              <w:br/>
            </w:r>
            <w:r w:rsidR="00872A34" w:rsidRPr="006931BD">
              <w:rPr>
                <w:rFonts w:asciiTheme="minorHAnsi" w:hAnsiTheme="minorHAnsi"/>
                <w:b/>
                <w:bCs/>
                <w:sz w:val="22"/>
                <w:szCs w:val="22"/>
              </w:rPr>
              <w:t xml:space="preserve">Technical Working Group Members: </w:t>
            </w:r>
          </w:p>
          <w:p w14:paraId="0412B681" w14:textId="4FD47E7D" w:rsidR="00B00273" w:rsidRPr="006931BD" w:rsidRDefault="00872A34" w:rsidP="00E00DF5">
            <w:pPr>
              <w:jc w:val="left"/>
              <w:rPr>
                <w:rFonts w:asciiTheme="minorHAnsi" w:hAnsiTheme="minorHAnsi"/>
                <w:sz w:val="22"/>
                <w:szCs w:val="22"/>
              </w:rPr>
            </w:pPr>
            <w:r w:rsidRPr="006931BD">
              <w:rPr>
                <w:rFonts w:asciiTheme="minorHAnsi" w:hAnsiTheme="minorHAnsi"/>
                <w:sz w:val="22"/>
                <w:szCs w:val="22"/>
              </w:rPr>
              <w:t>Aoife O’Leary, Environmental Defense Fund</w:t>
            </w:r>
            <w:r w:rsidR="005753B9" w:rsidRPr="006931BD">
              <w:rPr>
                <w:rFonts w:asciiTheme="minorHAnsi" w:hAnsiTheme="minorHAnsi"/>
                <w:sz w:val="22"/>
                <w:szCs w:val="22"/>
              </w:rPr>
              <w:br/>
              <w:t xml:space="preserve">Andrew </w:t>
            </w:r>
            <w:proofErr w:type="spellStart"/>
            <w:r w:rsidR="005753B9" w:rsidRPr="006931BD">
              <w:rPr>
                <w:rFonts w:asciiTheme="minorHAnsi" w:hAnsiTheme="minorHAnsi"/>
                <w:sz w:val="22"/>
                <w:szCs w:val="22"/>
              </w:rPr>
              <w:t>Gazal</w:t>
            </w:r>
            <w:proofErr w:type="spellEnd"/>
            <w:r w:rsidR="005753B9" w:rsidRPr="006931BD">
              <w:rPr>
                <w:rFonts w:asciiTheme="minorHAnsi" w:hAnsiTheme="minorHAnsi"/>
                <w:sz w:val="22"/>
                <w:szCs w:val="22"/>
              </w:rPr>
              <w:t>, ESG Tech</w:t>
            </w:r>
            <w:r w:rsidRPr="006931BD">
              <w:rPr>
                <w:rFonts w:asciiTheme="minorHAnsi" w:hAnsiTheme="minorHAnsi"/>
                <w:sz w:val="22"/>
                <w:szCs w:val="22"/>
              </w:rPr>
              <w:br/>
              <w:t xml:space="preserve">Peter Chant, </w:t>
            </w:r>
            <w:proofErr w:type="spellStart"/>
            <w:r w:rsidRPr="006931BD">
              <w:rPr>
                <w:rFonts w:asciiTheme="minorHAnsi" w:hAnsiTheme="minorHAnsi"/>
                <w:sz w:val="22"/>
                <w:szCs w:val="22"/>
              </w:rPr>
              <w:t>Fremco</w:t>
            </w:r>
            <w:proofErr w:type="spellEnd"/>
            <w:r w:rsidRPr="006931BD">
              <w:rPr>
                <w:rFonts w:asciiTheme="minorHAnsi" w:hAnsiTheme="minorHAnsi"/>
                <w:sz w:val="22"/>
                <w:szCs w:val="22"/>
              </w:rPr>
              <w:br/>
              <w:t xml:space="preserve">Alison Morris, </w:t>
            </w:r>
            <w:proofErr w:type="spellStart"/>
            <w:r w:rsidRPr="006931BD">
              <w:rPr>
                <w:rFonts w:asciiTheme="minorHAnsi" w:hAnsiTheme="minorHAnsi"/>
                <w:sz w:val="22"/>
                <w:szCs w:val="22"/>
              </w:rPr>
              <w:t>Fremco</w:t>
            </w:r>
            <w:proofErr w:type="spellEnd"/>
            <w:r w:rsidRPr="006931BD">
              <w:rPr>
                <w:rFonts w:asciiTheme="minorHAnsi" w:hAnsiTheme="minorHAnsi"/>
                <w:sz w:val="22"/>
                <w:szCs w:val="22"/>
              </w:rPr>
              <w:br/>
            </w:r>
            <w:proofErr w:type="spellStart"/>
            <w:r w:rsidRPr="006931BD">
              <w:rPr>
                <w:rFonts w:asciiTheme="minorHAnsi" w:hAnsiTheme="minorHAnsi"/>
                <w:sz w:val="22"/>
                <w:szCs w:val="22"/>
              </w:rPr>
              <w:t>Johannah</w:t>
            </w:r>
            <w:proofErr w:type="spellEnd"/>
            <w:r w:rsidRPr="006931BD">
              <w:rPr>
                <w:rFonts w:asciiTheme="minorHAnsi" w:hAnsiTheme="minorHAnsi"/>
                <w:sz w:val="22"/>
                <w:szCs w:val="22"/>
              </w:rPr>
              <w:t xml:space="preserve"> Christensen, Global Maritime Forum</w:t>
            </w:r>
          </w:p>
          <w:p w14:paraId="254BD2C5" w14:textId="60E09467" w:rsidR="002F45B6" w:rsidRPr="006931BD" w:rsidRDefault="00872A34" w:rsidP="00EA1F8A">
            <w:pPr>
              <w:jc w:val="left"/>
              <w:rPr>
                <w:sz w:val="22"/>
                <w:szCs w:val="22"/>
              </w:rPr>
            </w:pPr>
            <w:r w:rsidRPr="006931BD">
              <w:rPr>
                <w:rFonts w:asciiTheme="minorHAnsi" w:hAnsiTheme="minorHAnsi"/>
                <w:sz w:val="22"/>
                <w:szCs w:val="22"/>
              </w:rPr>
              <w:t>Katharine Palmer, Lloyd’s Register</w:t>
            </w:r>
            <w:r w:rsidRPr="006931BD">
              <w:rPr>
                <w:rFonts w:asciiTheme="minorHAnsi" w:hAnsiTheme="minorHAnsi"/>
                <w:sz w:val="22"/>
                <w:szCs w:val="22"/>
              </w:rPr>
              <w:br/>
              <w:t>Michael Adams, Ocean Assets Institute</w:t>
            </w:r>
            <w:r w:rsidRPr="006931BD">
              <w:rPr>
                <w:rFonts w:asciiTheme="minorHAnsi" w:hAnsiTheme="minorHAnsi"/>
                <w:sz w:val="22"/>
                <w:szCs w:val="22"/>
              </w:rPr>
              <w:br/>
              <w:t xml:space="preserve">James Mitchell, Rocky Mountain Institute </w:t>
            </w:r>
            <w:r w:rsidRPr="006931BD">
              <w:rPr>
                <w:rFonts w:asciiTheme="minorHAnsi" w:hAnsiTheme="minorHAnsi"/>
                <w:sz w:val="22"/>
                <w:szCs w:val="22"/>
              </w:rPr>
              <w:br/>
              <w:t>Diane Gilpin, Smart Green Shipping Alliance</w:t>
            </w:r>
            <w:r w:rsidRPr="006931BD">
              <w:rPr>
                <w:rFonts w:asciiTheme="minorHAnsi" w:hAnsiTheme="minorHAnsi"/>
                <w:sz w:val="22"/>
                <w:szCs w:val="22"/>
              </w:rPr>
              <w:br/>
              <w:t>David Connolly, Southampton University</w:t>
            </w:r>
            <w:r w:rsidRPr="006931BD">
              <w:rPr>
                <w:rFonts w:asciiTheme="minorHAnsi" w:hAnsiTheme="minorHAnsi"/>
                <w:sz w:val="22"/>
                <w:szCs w:val="22"/>
              </w:rPr>
              <w:br/>
              <w:t xml:space="preserve">Bruce Anderson, </w:t>
            </w:r>
            <w:proofErr w:type="spellStart"/>
            <w:r w:rsidRPr="006931BD">
              <w:rPr>
                <w:rFonts w:asciiTheme="minorHAnsi" w:hAnsiTheme="minorHAnsi"/>
                <w:sz w:val="22"/>
                <w:szCs w:val="22"/>
              </w:rPr>
              <w:t>Starcrest</w:t>
            </w:r>
            <w:proofErr w:type="spellEnd"/>
            <w:r w:rsidRPr="006931BD">
              <w:rPr>
                <w:rFonts w:asciiTheme="minorHAnsi" w:hAnsiTheme="minorHAnsi"/>
                <w:sz w:val="22"/>
                <w:szCs w:val="22"/>
              </w:rPr>
              <w:t xml:space="preserve"> Consulting </w:t>
            </w:r>
            <w:r w:rsidRPr="006931BD">
              <w:rPr>
                <w:rFonts w:asciiTheme="minorHAnsi" w:hAnsiTheme="minorHAnsi"/>
                <w:sz w:val="22"/>
                <w:szCs w:val="22"/>
              </w:rPr>
              <w:br/>
              <w:t xml:space="preserve">Nicole </w:t>
            </w:r>
            <w:proofErr w:type="spellStart"/>
            <w:r w:rsidRPr="006931BD">
              <w:rPr>
                <w:rFonts w:asciiTheme="minorHAnsi" w:hAnsiTheme="minorHAnsi"/>
                <w:sz w:val="22"/>
                <w:szCs w:val="22"/>
              </w:rPr>
              <w:t>Re</w:t>
            </w:r>
            <w:r w:rsidR="00474B87" w:rsidRPr="006931BD">
              <w:rPr>
                <w:rFonts w:asciiTheme="minorHAnsi" w:hAnsiTheme="minorHAnsi"/>
                <w:sz w:val="22"/>
                <w:szCs w:val="22"/>
              </w:rPr>
              <w:t>nco</w:t>
            </w:r>
            <w:r w:rsidRPr="006931BD">
              <w:rPr>
                <w:rFonts w:asciiTheme="minorHAnsi" w:hAnsiTheme="minorHAnsi"/>
                <w:sz w:val="22"/>
                <w:szCs w:val="22"/>
              </w:rPr>
              <w:t>ret</w:t>
            </w:r>
            <w:proofErr w:type="spellEnd"/>
            <w:r w:rsidRPr="006931BD">
              <w:rPr>
                <w:rFonts w:asciiTheme="minorHAnsi" w:hAnsiTheme="minorHAnsi"/>
                <w:sz w:val="22"/>
                <w:szCs w:val="22"/>
              </w:rPr>
              <w:t xml:space="preserve">, Sustainable Shipping Initiative </w:t>
            </w:r>
            <w:r w:rsidRPr="006931BD">
              <w:rPr>
                <w:rFonts w:asciiTheme="minorHAnsi" w:hAnsiTheme="minorHAnsi"/>
                <w:sz w:val="22"/>
                <w:szCs w:val="22"/>
              </w:rPr>
              <w:br/>
              <w:t>Andrew Stephens, Sustainable Shipping Initiative</w:t>
            </w:r>
            <w:r w:rsidRPr="006931BD">
              <w:rPr>
                <w:rFonts w:asciiTheme="minorHAnsi" w:hAnsiTheme="minorHAnsi"/>
                <w:sz w:val="22"/>
                <w:szCs w:val="22"/>
              </w:rPr>
              <w:br/>
              <w:t>John Broderick</w:t>
            </w:r>
          </w:p>
          <w:p w14:paraId="2F1F46A7" w14:textId="77777777" w:rsidR="00862F7C" w:rsidRPr="006931BD" w:rsidRDefault="00862F7C" w:rsidP="009205FE">
            <w:pPr>
              <w:rPr>
                <w:sz w:val="22"/>
                <w:szCs w:val="22"/>
              </w:rPr>
            </w:pPr>
          </w:p>
          <w:p w14:paraId="556DA9B2" w14:textId="68E187AF" w:rsidR="00862F7C" w:rsidRPr="006931BD" w:rsidRDefault="00862F7C" w:rsidP="009205FE">
            <w:pPr>
              <w:rPr>
                <w:sz w:val="22"/>
                <w:szCs w:val="22"/>
              </w:rPr>
            </w:pPr>
          </w:p>
        </w:tc>
        <w:tc>
          <w:tcPr>
            <w:tcW w:w="4683" w:type="dxa"/>
          </w:tcPr>
          <w:p w14:paraId="6B140607" w14:textId="3625DC73" w:rsidR="00872A34" w:rsidRPr="006931BD" w:rsidRDefault="00872A34" w:rsidP="00E00DF5">
            <w:pPr>
              <w:jc w:val="left"/>
              <w:rPr>
                <w:rFonts w:asciiTheme="minorHAnsi" w:hAnsiTheme="minorHAnsi"/>
                <w:sz w:val="22"/>
                <w:szCs w:val="22"/>
              </w:rPr>
            </w:pPr>
            <w:r w:rsidRPr="006931BD">
              <w:rPr>
                <w:rFonts w:asciiTheme="minorHAnsi" w:hAnsiTheme="minorHAnsi"/>
                <w:b/>
                <w:bCs/>
                <w:sz w:val="22"/>
                <w:szCs w:val="22"/>
                <w:lang w:eastAsia="zh-CN"/>
              </w:rPr>
              <w:t>Industry Working Group Members:</w:t>
            </w:r>
            <w:r w:rsidRPr="006931BD">
              <w:rPr>
                <w:rFonts w:asciiTheme="minorHAnsi" w:hAnsiTheme="minorHAnsi"/>
                <w:sz w:val="22"/>
                <w:szCs w:val="22"/>
              </w:rPr>
              <w:br/>
            </w:r>
            <w:proofErr w:type="spellStart"/>
            <w:r w:rsidRPr="006931BD">
              <w:rPr>
                <w:rFonts w:asciiTheme="minorHAnsi" w:hAnsiTheme="minorHAnsi"/>
                <w:sz w:val="22"/>
                <w:szCs w:val="22"/>
              </w:rPr>
              <w:t>Joop</w:t>
            </w:r>
            <w:proofErr w:type="spellEnd"/>
            <w:r w:rsidRPr="006931BD">
              <w:rPr>
                <w:rFonts w:asciiTheme="minorHAnsi" w:hAnsiTheme="minorHAnsi"/>
                <w:sz w:val="22"/>
                <w:szCs w:val="22"/>
              </w:rPr>
              <w:t xml:space="preserve"> Hessels, ABN </w:t>
            </w:r>
            <w:proofErr w:type="spellStart"/>
            <w:r w:rsidRPr="006931BD">
              <w:rPr>
                <w:rFonts w:asciiTheme="minorHAnsi" w:hAnsiTheme="minorHAnsi"/>
                <w:sz w:val="22"/>
                <w:szCs w:val="22"/>
              </w:rPr>
              <w:t>Amro</w:t>
            </w:r>
            <w:proofErr w:type="spellEnd"/>
            <w:r w:rsidRPr="006931BD">
              <w:rPr>
                <w:rFonts w:asciiTheme="minorHAnsi" w:hAnsiTheme="minorHAnsi"/>
                <w:sz w:val="22"/>
                <w:szCs w:val="22"/>
              </w:rPr>
              <w:t xml:space="preserve"> </w:t>
            </w:r>
            <w:r w:rsidR="00474B87" w:rsidRPr="006931BD">
              <w:rPr>
                <w:rFonts w:asciiTheme="minorHAnsi" w:hAnsiTheme="minorHAnsi"/>
                <w:sz w:val="22"/>
                <w:szCs w:val="22"/>
              </w:rPr>
              <w:br/>
              <w:t xml:space="preserve">Katherine House, </w:t>
            </w:r>
            <w:proofErr w:type="spellStart"/>
            <w:r w:rsidR="00474B87" w:rsidRPr="006931BD">
              <w:rPr>
                <w:rFonts w:asciiTheme="minorHAnsi" w:hAnsiTheme="minorHAnsi"/>
                <w:sz w:val="22"/>
                <w:szCs w:val="22"/>
              </w:rPr>
              <w:t>Affirimative</w:t>
            </w:r>
            <w:proofErr w:type="spellEnd"/>
            <w:r w:rsidR="00474B87" w:rsidRPr="006931BD">
              <w:rPr>
                <w:rFonts w:asciiTheme="minorHAnsi" w:hAnsiTheme="minorHAnsi"/>
                <w:sz w:val="22"/>
                <w:szCs w:val="22"/>
              </w:rPr>
              <w:t xml:space="preserve"> IM</w:t>
            </w:r>
          </w:p>
          <w:p w14:paraId="7A3817C0" w14:textId="77777777" w:rsidR="00872A34" w:rsidRPr="006931BD" w:rsidRDefault="00872A34" w:rsidP="00E00DF5">
            <w:pPr>
              <w:jc w:val="left"/>
              <w:rPr>
                <w:rFonts w:asciiTheme="minorHAnsi" w:hAnsiTheme="minorHAnsi"/>
                <w:sz w:val="22"/>
                <w:szCs w:val="22"/>
              </w:rPr>
            </w:pPr>
            <w:r w:rsidRPr="006931BD">
              <w:rPr>
                <w:rFonts w:asciiTheme="minorHAnsi" w:hAnsiTheme="minorHAnsi"/>
                <w:sz w:val="22"/>
                <w:szCs w:val="22"/>
              </w:rPr>
              <w:t xml:space="preserve">Michael Parker, Citi </w:t>
            </w:r>
          </w:p>
          <w:p w14:paraId="346784FA" w14:textId="10A77418" w:rsidR="00872A34" w:rsidRPr="006931BD" w:rsidRDefault="00872A34" w:rsidP="00E00DF5">
            <w:pPr>
              <w:jc w:val="left"/>
              <w:rPr>
                <w:rFonts w:asciiTheme="minorHAnsi" w:hAnsiTheme="minorHAnsi"/>
                <w:sz w:val="22"/>
                <w:szCs w:val="22"/>
              </w:rPr>
            </w:pPr>
            <w:r w:rsidRPr="006931BD">
              <w:rPr>
                <w:rFonts w:asciiTheme="minorHAnsi" w:hAnsiTheme="minorHAnsi"/>
                <w:sz w:val="22"/>
                <w:szCs w:val="22"/>
              </w:rPr>
              <w:t>Lars Mac Kay, Danske Bank</w:t>
            </w:r>
            <w:r w:rsidRPr="006931BD">
              <w:rPr>
                <w:rFonts w:asciiTheme="minorHAnsi" w:hAnsiTheme="minorHAnsi"/>
                <w:sz w:val="22"/>
                <w:szCs w:val="22"/>
              </w:rPr>
              <w:br/>
              <w:t xml:space="preserve">Knut </w:t>
            </w:r>
            <w:proofErr w:type="spellStart"/>
            <w:r w:rsidRPr="006931BD">
              <w:rPr>
                <w:rFonts w:asciiTheme="minorHAnsi" w:hAnsiTheme="minorHAnsi"/>
                <w:sz w:val="22"/>
                <w:szCs w:val="22"/>
              </w:rPr>
              <w:t>Elvind</w:t>
            </w:r>
            <w:proofErr w:type="spellEnd"/>
            <w:r w:rsidRPr="006931BD">
              <w:rPr>
                <w:rFonts w:asciiTheme="minorHAnsi" w:hAnsiTheme="minorHAnsi"/>
                <w:sz w:val="22"/>
                <w:szCs w:val="22"/>
              </w:rPr>
              <w:t xml:space="preserve"> </w:t>
            </w:r>
            <w:proofErr w:type="spellStart"/>
            <w:r w:rsidRPr="006931BD">
              <w:rPr>
                <w:rFonts w:asciiTheme="minorHAnsi" w:hAnsiTheme="minorHAnsi"/>
                <w:sz w:val="22"/>
                <w:szCs w:val="22"/>
              </w:rPr>
              <w:t>Haaland</w:t>
            </w:r>
            <w:proofErr w:type="spellEnd"/>
            <w:r w:rsidRPr="006931BD">
              <w:rPr>
                <w:rFonts w:asciiTheme="minorHAnsi" w:hAnsiTheme="minorHAnsi"/>
                <w:sz w:val="22"/>
                <w:szCs w:val="22"/>
              </w:rPr>
              <w:t>, DNB</w:t>
            </w:r>
            <w:r w:rsidRPr="006931BD">
              <w:rPr>
                <w:rFonts w:asciiTheme="minorHAnsi" w:hAnsiTheme="minorHAnsi"/>
                <w:sz w:val="22"/>
                <w:szCs w:val="22"/>
              </w:rPr>
              <w:br/>
              <w:t xml:space="preserve">Lars </w:t>
            </w:r>
            <w:proofErr w:type="spellStart"/>
            <w:r w:rsidRPr="006931BD">
              <w:rPr>
                <w:rFonts w:asciiTheme="minorHAnsi" w:hAnsiTheme="minorHAnsi"/>
                <w:sz w:val="22"/>
                <w:szCs w:val="22"/>
              </w:rPr>
              <w:t>Kalbakken</w:t>
            </w:r>
            <w:proofErr w:type="spellEnd"/>
            <w:r w:rsidRPr="006931BD">
              <w:rPr>
                <w:rFonts w:asciiTheme="minorHAnsi" w:hAnsiTheme="minorHAnsi"/>
                <w:sz w:val="22"/>
                <w:szCs w:val="22"/>
              </w:rPr>
              <w:t>, DNB</w:t>
            </w:r>
            <w:r w:rsidRPr="006931BD">
              <w:rPr>
                <w:rFonts w:asciiTheme="minorHAnsi" w:hAnsiTheme="minorHAnsi"/>
                <w:sz w:val="22"/>
                <w:szCs w:val="22"/>
              </w:rPr>
              <w:br/>
              <w:t>Nina Ahlstrand, DNB</w:t>
            </w:r>
            <w:r w:rsidRPr="006931BD">
              <w:rPr>
                <w:rFonts w:asciiTheme="minorHAnsi" w:hAnsiTheme="minorHAnsi"/>
                <w:sz w:val="22"/>
                <w:szCs w:val="22"/>
              </w:rPr>
              <w:br/>
              <w:t xml:space="preserve">Gust </w:t>
            </w:r>
            <w:proofErr w:type="spellStart"/>
            <w:r w:rsidRPr="006931BD">
              <w:rPr>
                <w:rFonts w:asciiTheme="minorHAnsi" w:hAnsiTheme="minorHAnsi"/>
                <w:sz w:val="22"/>
                <w:szCs w:val="22"/>
              </w:rPr>
              <w:t>Biesbroeck</w:t>
            </w:r>
            <w:proofErr w:type="spellEnd"/>
          </w:p>
          <w:p w14:paraId="02652A83" w14:textId="4A60A837" w:rsidR="00872A34" w:rsidRPr="006931BD" w:rsidRDefault="00872A34" w:rsidP="00E00DF5">
            <w:pPr>
              <w:jc w:val="left"/>
              <w:rPr>
                <w:rFonts w:asciiTheme="minorHAnsi" w:hAnsiTheme="minorHAnsi"/>
                <w:sz w:val="22"/>
                <w:szCs w:val="22"/>
              </w:rPr>
            </w:pPr>
            <w:r w:rsidRPr="006931BD">
              <w:rPr>
                <w:rFonts w:asciiTheme="minorHAnsi" w:hAnsiTheme="minorHAnsi"/>
                <w:sz w:val="22"/>
                <w:szCs w:val="22"/>
              </w:rPr>
              <w:t>Kristoffer Olsen, ITM Power</w:t>
            </w:r>
            <w:r w:rsidRPr="006931BD">
              <w:rPr>
                <w:rFonts w:asciiTheme="minorHAnsi" w:hAnsiTheme="minorHAnsi"/>
                <w:sz w:val="22"/>
                <w:szCs w:val="22"/>
              </w:rPr>
              <w:br/>
              <w:t xml:space="preserve">Ted </w:t>
            </w:r>
            <w:proofErr w:type="spellStart"/>
            <w:r w:rsidRPr="006931BD">
              <w:rPr>
                <w:rFonts w:asciiTheme="minorHAnsi" w:hAnsiTheme="minorHAnsi"/>
                <w:sz w:val="22"/>
                <w:szCs w:val="22"/>
              </w:rPr>
              <w:t>Shergalis</w:t>
            </w:r>
            <w:proofErr w:type="spellEnd"/>
            <w:r w:rsidRPr="006931BD">
              <w:rPr>
                <w:rFonts w:asciiTheme="minorHAnsi" w:hAnsiTheme="minorHAnsi"/>
                <w:sz w:val="22"/>
                <w:szCs w:val="22"/>
              </w:rPr>
              <w:t xml:space="preserve">, </w:t>
            </w:r>
            <w:proofErr w:type="spellStart"/>
            <w:r w:rsidRPr="006931BD">
              <w:rPr>
                <w:rFonts w:asciiTheme="minorHAnsi" w:hAnsiTheme="minorHAnsi"/>
                <w:sz w:val="22"/>
                <w:szCs w:val="22"/>
              </w:rPr>
              <w:t>Magnuss</w:t>
            </w:r>
            <w:proofErr w:type="spellEnd"/>
            <w:r w:rsidRPr="006931BD">
              <w:rPr>
                <w:rFonts w:asciiTheme="minorHAnsi" w:hAnsiTheme="minorHAnsi"/>
                <w:sz w:val="22"/>
                <w:szCs w:val="22"/>
              </w:rPr>
              <w:br/>
              <w:t xml:space="preserve">Astrid </w:t>
            </w:r>
            <w:proofErr w:type="spellStart"/>
            <w:r w:rsidRPr="006931BD">
              <w:rPr>
                <w:rFonts w:asciiTheme="minorHAnsi" w:hAnsiTheme="minorHAnsi"/>
                <w:sz w:val="22"/>
                <w:szCs w:val="22"/>
              </w:rPr>
              <w:t>Molstad</w:t>
            </w:r>
            <w:proofErr w:type="spellEnd"/>
            <w:r w:rsidRPr="006931BD">
              <w:rPr>
                <w:rFonts w:asciiTheme="minorHAnsi" w:hAnsiTheme="minorHAnsi"/>
                <w:sz w:val="22"/>
                <w:szCs w:val="22"/>
              </w:rPr>
              <w:t xml:space="preserve">, </w:t>
            </w:r>
            <w:proofErr w:type="spellStart"/>
            <w:r w:rsidRPr="006931BD">
              <w:rPr>
                <w:rFonts w:asciiTheme="minorHAnsi" w:hAnsiTheme="minorHAnsi"/>
                <w:sz w:val="22"/>
                <w:szCs w:val="22"/>
              </w:rPr>
              <w:t>Molnex</w:t>
            </w:r>
            <w:proofErr w:type="spellEnd"/>
            <w:r w:rsidRPr="006931BD">
              <w:rPr>
                <w:rFonts w:asciiTheme="minorHAnsi" w:hAnsiTheme="minorHAnsi"/>
                <w:sz w:val="22"/>
                <w:szCs w:val="22"/>
              </w:rPr>
              <w:br/>
              <w:t xml:space="preserve">Jacob </w:t>
            </w:r>
            <w:proofErr w:type="spellStart"/>
            <w:r w:rsidRPr="006931BD">
              <w:rPr>
                <w:rFonts w:asciiTheme="minorHAnsi" w:hAnsiTheme="minorHAnsi"/>
                <w:sz w:val="22"/>
                <w:szCs w:val="22"/>
              </w:rPr>
              <w:t>Michaelsen</w:t>
            </w:r>
            <w:proofErr w:type="spellEnd"/>
            <w:r w:rsidRPr="006931BD">
              <w:rPr>
                <w:rFonts w:asciiTheme="minorHAnsi" w:hAnsiTheme="minorHAnsi"/>
                <w:sz w:val="22"/>
                <w:szCs w:val="22"/>
              </w:rPr>
              <w:t>, Nordea</w:t>
            </w:r>
            <w:r w:rsidRPr="006931BD">
              <w:rPr>
                <w:rFonts w:asciiTheme="minorHAnsi" w:hAnsiTheme="minorHAnsi"/>
                <w:sz w:val="22"/>
                <w:szCs w:val="22"/>
              </w:rPr>
              <w:br/>
            </w:r>
            <w:proofErr w:type="spellStart"/>
            <w:r w:rsidRPr="006931BD">
              <w:rPr>
                <w:rFonts w:asciiTheme="minorHAnsi" w:hAnsiTheme="minorHAnsi"/>
                <w:sz w:val="22"/>
                <w:szCs w:val="22"/>
              </w:rPr>
              <w:t>Margrete</w:t>
            </w:r>
            <w:proofErr w:type="spellEnd"/>
            <w:r w:rsidRPr="006931BD">
              <w:rPr>
                <w:rFonts w:asciiTheme="minorHAnsi" w:hAnsiTheme="minorHAnsi"/>
                <w:sz w:val="22"/>
                <w:szCs w:val="22"/>
              </w:rPr>
              <w:t xml:space="preserve"> </w:t>
            </w:r>
            <w:proofErr w:type="spellStart"/>
            <w:r w:rsidRPr="006931BD">
              <w:rPr>
                <w:rFonts w:asciiTheme="minorHAnsi" w:hAnsiTheme="minorHAnsi"/>
                <w:sz w:val="22"/>
                <w:szCs w:val="22"/>
              </w:rPr>
              <w:t>Ellertsen</w:t>
            </w:r>
            <w:proofErr w:type="spellEnd"/>
            <w:r w:rsidRPr="006931BD">
              <w:rPr>
                <w:rFonts w:asciiTheme="minorHAnsi" w:hAnsiTheme="minorHAnsi"/>
                <w:sz w:val="22"/>
                <w:szCs w:val="22"/>
              </w:rPr>
              <w:t>, Nordea</w:t>
            </w:r>
          </w:p>
          <w:p w14:paraId="0F96E2DA" w14:textId="2CFB0925" w:rsidR="00EB4EEF" w:rsidRPr="006931BD" w:rsidRDefault="00867EA2" w:rsidP="00EB4EEF">
            <w:pPr>
              <w:rPr>
                <w:rFonts w:asciiTheme="minorHAnsi" w:hAnsiTheme="minorHAnsi"/>
                <w:sz w:val="22"/>
                <w:szCs w:val="22"/>
              </w:rPr>
            </w:pPr>
            <w:r w:rsidRPr="006931BD">
              <w:rPr>
                <w:rFonts w:asciiTheme="minorHAnsi" w:hAnsiTheme="minorHAnsi"/>
                <w:sz w:val="22"/>
                <w:szCs w:val="22"/>
              </w:rPr>
              <w:t>Yoshiaki Hamano, NYK</w:t>
            </w:r>
          </w:p>
          <w:p w14:paraId="359A8E1C" w14:textId="7966A013" w:rsidR="00862F7C" w:rsidRPr="006931BD" w:rsidRDefault="00862F7C" w:rsidP="00EB4EEF">
            <w:pPr>
              <w:rPr>
                <w:rFonts w:asciiTheme="minorHAnsi" w:hAnsiTheme="minorHAnsi"/>
                <w:sz w:val="22"/>
                <w:szCs w:val="22"/>
              </w:rPr>
            </w:pPr>
            <w:r w:rsidRPr="006931BD">
              <w:rPr>
                <w:rFonts w:asciiTheme="minorHAnsi" w:hAnsiTheme="minorHAnsi"/>
                <w:sz w:val="22"/>
                <w:szCs w:val="22"/>
              </w:rPr>
              <w:t>Yusuke Matsui, NYK</w:t>
            </w:r>
          </w:p>
          <w:p w14:paraId="040D5B38" w14:textId="77777777" w:rsidR="00872A34" w:rsidRPr="006931BD" w:rsidRDefault="00872A34" w:rsidP="00E00DF5">
            <w:pPr>
              <w:jc w:val="left"/>
              <w:rPr>
                <w:rFonts w:asciiTheme="minorHAnsi" w:hAnsiTheme="minorHAnsi"/>
                <w:sz w:val="22"/>
                <w:szCs w:val="22"/>
              </w:rPr>
            </w:pPr>
            <w:r w:rsidRPr="006931BD">
              <w:rPr>
                <w:rFonts w:asciiTheme="minorHAnsi" w:hAnsiTheme="minorHAnsi"/>
                <w:sz w:val="22"/>
                <w:szCs w:val="22"/>
              </w:rPr>
              <w:t xml:space="preserve">Christopher Rex, </w:t>
            </w:r>
            <w:proofErr w:type="spellStart"/>
            <w:r w:rsidRPr="006931BD">
              <w:rPr>
                <w:rFonts w:asciiTheme="minorHAnsi" w:hAnsiTheme="minorHAnsi"/>
                <w:sz w:val="22"/>
                <w:szCs w:val="22"/>
              </w:rPr>
              <w:t>Skibskredit</w:t>
            </w:r>
            <w:proofErr w:type="spellEnd"/>
          </w:p>
          <w:p w14:paraId="3FE8E097" w14:textId="77777777" w:rsidR="00862F7C" w:rsidRPr="006931BD" w:rsidRDefault="00872A34" w:rsidP="00E00DF5">
            <w:pPr>
              <w:jc w:val="left"/>
              <w:rPr>
                <w:rFonts w:asciiTheme="minorHAnsi" w:hAnsiTheme="minorHAnsi"/>
                <w:sz w:val="22"/>
                <w:szCs w:val="22"/>
              </w:rPr>
            </w:pPr>
            <w:r w:rsidRPr="006931BD">
              <w:rPr>
                <w:rFonts w:asciiTheme="minorHAnsi" w:hAnsiTheme="minorHAnsi"/>
                <w:sz w:val="22"/>
                <w:szCs w:val="22"/>
              </w:rPr>
              <w:t xml:space="preserve">Sara </w:t>
            </w:r>
            <w:proofErr w:type="spellStart"/>
            <w:r w:rsidRPr="006931BD">
              <w:rPr>
                <w:rFonts w:asciiTheme="minorHAnsi" w:hAnsiTheme="minorHAnsi"/>
                <w:sz w:val="22"/>
                <w:szCs w:val="22"/>
              </w:rPr>
              <w:t>Møller</w:t>
            </w:r>
            <w:proofErr w:type="spellEnd"/>
            <w:r w:rsidRPr="006931BD">
              <w:rPr>
                <w:rFonts w:asciiTheme="minorHAnsi" w:hAnsiTheme="minorHAnsi"/>
                <w:sz w:val="22"/>
                <w:szCs w:val="22"/>
              </w:rPr>
              <w:t xml:space="preserve"> Jensen, </w:t>
            </w:r>
            <w:proofErr w:type="spellStart"/>
            <w:r w:rsidRPr="006931BD">
              <w:rPr>
                <w:rFonts w:asciiTheme="minorHAnsi" w:hAnsiTheme="minorHAnsi"/>
                <w:sz w:val="22"/>
                <w:szCs w:val="22"/>
              </w:rPr>
              <w:t>Skibskredit</w:t>
            </w:r>
            <w:proofErr w:type="spellEnd"/>
            <w:r w:rsidRPr="006931BD">
              <w:rPr>
                <w:rFonts w:asciiTheme="minorHAnsi" w:hAnsiTheme="minorHAnsi"/>
                <w:sz w:val="22"/>
                <w:szCs w:val="22"/>
              </w:rPr>
              <w:br/>
              <w:t xml:space="preserve">Nikos </w:t>
            </w:r>
            <w:proofErr w:type="spellStart"/>
            <w:r w:rsidRPr="006931BD">
              <w:rPr>
                <w:rFonts w:asciiTheme="minorHAnsi" w:hAnsiTheme="minorHAnsi"/>
                <w:sz w:val="22"/>
                <w:szCs w:val="22"/>
              </w:rPr>
              <w:t>Petrakakos</w:t>
            </w:r>
            <w:proofErr w:type="spellEnd"/>
            <w:r w:rsidRPr="006931BD">
              <w:rPr>
                <w:rFonts w:asciiTheme="minorHAnsi" w:hAnsiTheme="minorHAnsi"/>
                <w:sz w:val="22"/>
                <w:szCs w:val="22"/>
              </w:rPr>
              <w:t>, Seabury Capital</w:t>
            </w:r>
            <w:r w:rsidRPr="006931BD">
              <w:rPr>
                <w:rFonts w:asciiTheme="minorHAnsi" w:hAnsiTheme="minorHAnsi"/>
                <w:sz w:val="22"/>
                <w:szCs w:val="22"/>
              </w:rPr>
              <w:br/>
              <w:t>Henrik Piper, Silverstream Tech</w:t>
            </w:r>
            <w:r w:rsidRPr="006931BD">
              <w:rPr>
                <w:rFonts w:asciiTheme="minorHAnsi" w:hAnsiTheme="minorHAnsi"/>
                <w:sz w:val="22"/>
                <w:szCs w:val="22"/>
              </w:rPr>
              <w:br/>
              <w:t xml:space="preserve">Jens Peter </w:t>
            </w:r>
            <w:proofErr w:type="spellStart"/>
            <w:r w:rsidRPr="006931BD">
              <w:rPr>
                <w:rFonts w:asciiTheme="minorHAnsi" w:hAnsiTheme="minorHAnsi"/>
                <w:sz w:val="22"/>
                <w:szCs w:val="22"/>
              </w:rPr>
              <w:t>Neergard</w:t>
            </w:r>
            <w:proofErr w:type="spellEnd"/>
            <w:r w:rsidRPr="006931BD">
              <w:rPr>
                <w:rFonts w:asciiTheme="minorHAnsi" w:hAnsiTheme="minorHAnsi"/>
                <w:sz w:val="22"/>
                <w:szCs w:val="22"/>
              </w:rPr>
              <w:t>, Silverstream Tech</w:t>
            </w:r>
          </w:p>
          <w:p w14:paraId="00B4D171" w14:textId="6D2AF4BA" w:rsidR="00872A34" w:rsidRPr="006931BD" w:rsidRDefault="00862F7C" w:rsidP="00E00DF5">
            <w:pPr>
              <w:jc w:val="left"/>
              <w:rPr>
                <w:rFonts w:asciiTheme="minorHAnsi" w:hAnsiTheme="minorHAnsi"/>
                <w:sz w:val="22"/>
                <w:szCs w:val="22"/>
              </w:rPr>
            </w:pPr>
            <w:r w:rsidRPr="006931BD">
              <w:rPr>
                <w:rFonts w:asciiTheme="minorHAnsi" w:hAnsiTheme="minorHAnsi"/>
                <w:sz w:val="22"/>
                <w:szCs w:val="22"/>
              </w:rPr>
              <w:t>Paul Stuart-Smith, Zero Carbon Finance</w:t>
            </w:r>
          </w:p>
        </w:tc>
      </w:tr>
    </w:tbl>
    <w:p w14:paraId="0FDCBBCB" w14:textId="77777777" w:rsidR="00DB76F0" w:rsidRDefault="00DB76F0" w:rsidP="003214C0">
      <w:pPr>
        <w:rPr>
          <w:b/>
          <w:bCs/>
          <w:sz w:val="22"/>
          <w:szCs w:val="22"/>
        </w:rPr>
      </w:pPr>
    </w:p>
    <w:p w14:paraId="67FB6788" w14:textId="617E59E5" w:rsidR="00AD54BC" w:rsidRDefault="00DB76F0" w:rsidP="003214C0">
      <w:pPr>
        <w:rPr>
          <w:rFonts w:eastAsia="Arial Unicode MS"/>
          <w:sz w:val="22"/>
          <w:szCs w:val="22"/>
          <w:lang w:val="en-US"/>
        </w:rPr>
      </w:pPr>
      <w:r>
        <w:rPr>
          <w:b/>
          <w:bCs/>
          <w:sz w:val="22"/>
          <w:szCs w:val="22"/>
        </w:rPr>
        <w:t>With</w:t>
      </w:r>
      <w:r w:rsidR="00171003">
        <w:rPr>
          <w:b/>
          <w:bCs/>
          <w:sz w:val="22"/>
          <w:szCs w:val="22"/>
        </w:rPr>
        <w:t xml:space="preserve"> </w:t>
      </w:r>
      <w:r>
        <w:rPr>
          <w:b/>
          <w:bCs/>
          <w:sz w:val="22"/>
          <w:szCs w:val="22"/>
        </w:rPr>
        <w:t xml:space="preserve">thanks to: </w:t>
      </w:r>
    </w:p>
    <w:p w14:paraId="6A139CF5" w14:textId="050CD748" w:rsidR="00171003" w:rsidRPr="00171003" w:rsidRDefault="00DB76F0" w:rsidP="00DB76F0">
      <w:pPr>
        <w:jc w:val="left"/>
        <w:rPr>
          <w:rFonts w:eastAsia="Arial Unicode MS"/>
          <w:sz w:val="22"/>
          <w:szCs w:val="22"/>
          <w:lang w:val="en-US"/>
        </w:rPr>
      </w:pPr>
      <w:r w:rsidRPr="003214C0">
        <w:rPr>
          <w:rFonts w:eastAsia="Arial Unicode MS"/>
          <w:sz w:val="22"/>
          <w:szCs w:val="22"/>
          <w:lang w:val="en-US"/>
        </w:rPr>
        <w:t xml:space="preserve">Georgios </w:t>
      </w:r>
      <w:proofErr w:type="spellStart"/>
      <w:r w:rsidRPr="003214C0">
        <w:rPr>
          <w:rFonts w:eastAsia="Arial Unicode MS"/>
          <w:sz w:val="22"/>
          <w:szCs w:val="22"/>
          <w:lang w:val="en-US"/>
        </w:rPr>
        <w:t>Plevrakis</w:t>
      </w:r>
      <w:proofErr w:type="spellEnd"/>
      <w:r w:rsidRPr="003214C0">
        <w:rPr>
          <w:rFonts w:eastAsia="Arial Unicode MS"/>
          <w:sz w:val="22"/>
          <w:szCs w:val="22"/>
          <w:lang w:val="en-US"/>
        </w:rPr>
        <w:t>, American Bureau of Shipping</w:t>
      </w:r>
      <w:r w:rsidRPr="006931BD">
        <w:rPr>
          <w:rFonts w:eastAsia="Arial Unicode MS"/>
          <w:sz w:val="22"/>
          <w:szCs w:val="22"/>
          <w:lang w:val="en-US"/>
        </w:rPr>
        <w:t xml:space="preserve"> </w:t>
      </w:r>
      <w:r>
        <w:rPr>
          <w:rFonts w:eastAsia="Arial Unicode MS"/>
          <w:sz w:val="22"/>
          <w:szCs w:val="22"/>
          <w:lang w:val="en-US"/>
        </w:rPr>
        <w:br/>
      </w:r>
      <w:r w:rsidR="00171003" w:rsidRPr="00171003">
        <w:rPr>
          <w:rFonts w:eastAsia="Arial Unicode MS"/>
          <w:sz w:val="22"/>
          <w:szCs w:val="22"/>
          <w:lang w:val="en-US"/>
        </w:rPr>
        <w:t xml:space="preserve">Stephen </w:t>
      </w:r>
      <w:proofErr w:type="spellStart"/>
      <w:r w:rsidR="00171003" w:rsidRPr="00171003">
        <w:rPr>
          <w:rFonts w:eastAsia="Arial Unicode MS"/>
          <w:sz w:val="22"/>
          <w:szCs w:val="22"/>
          <w:lang w:val="en-US"/>
        </w:rPr>
        <w:t>Cadden</w:t>
      </w:r>
      <w:proofErr w:type="spellEnd"/>
      <w:r w:rsidR="00171003" w:rsidRPr="00171003">
        <w:rPr>
          <w:rFonts w:eastAsia="Arial Unicode MS"/>
          <w:sz w:val="22"/>
          <w:szCs w:val="22"/>
          <w:lang w:val="en-US"/>
        </w:rPr>
        <w:t>, Sea LNG</w:t>
      </w:r>
    </w:p>
    <w:p w14:paraId="13868D7F" w14:textId="58AB921D" w:rsidR="00DB76F0" w:rsidRPr="00EE464D" w:rsidRDefault="00DB76F0" w:rsidP="00DB76F0">
      <w:pPr>
        <w:jc w:val="left"/>
      </w:pPr>
      <w:r w:rsidRPr="00171003">
        <w:rPr>
          <w:rFonts w:eastAsia="Arial Unicode MS"/>
          <w:sz w:val="22"/>
          <w:szCs w:val="22"/>
          <w:lang w:val="en-US"/>
        </w:rPr>
        <w:t>Steve Esau, Sea LNG</w:t>
      </w:r>
    </w:p>
    <w:p w14:paraId="55896144" w14:textId="509550F5" w:rsidR="006E1296" w:rsidRDefault="00862F7C" w:rsidP="00862F7C">
      <w:pPr>
        <w:jc w:val="left"/>
        <w:rPr>
          <w:rFonts w:eastAsia="Arial Unicode MS"/>
          <w:sz w:val="22"/>
          <w:szCs w:val="22"/>
          <w:lang w:val="en-US"/>
        </w:rPr>
      </w:pPr>
      <w:r w:rsidRPr="006931BD">
        <w:rPr>
          <w:rFonts w:eastAsia="Arial Unicode MS"/>
          <w:sz w:val="22"/>
          <w:szCs w:val="22"/>
          <w:lang w:val="en-US"/>
        </w:rPr>
        <w:t>Samuel Kenny, Transport &amp; Environment</w:t>
      </w:r>
      <w:r w:rsidRPr="006931BD">
        <w:rPr>
          <w:rFonts w:eastAsia="Arial Unicode MS"/>
          <w:sz w:val="22"/>
          <w:szCs w:val="22"/>
          <w:lang w:val="en-US"/>
        </w:rPr>
        <w:br/>
      </w:r>
      <w:proofErr w:type="spellStart"/>
      <w:r w:rsidRPr="006931BD">
        <w:rPr>
          <w:rFonts w:eastAsia="Arial Unicode MS"/>
          <w:sz w:val="22"/>
          <w:szCs w:val="22"/>
          <w:lang w:val="en-US"/>
        </w:rPr>
        <w:t>Faig</w:t>
      </w:r>
      <w:proofErr w:type="spellEnd"/>
      <w:r w:rsidRPr="006931BD">
        <w:rPr>
          <w:rFonts w:eastAsia="Arial Unicode MS"/>
          <w:sz w:val="22"/>
          <w:szCs w:val="22"/>
          <w:lang w:val="en-US"/>
        </w:rPr>
        <w:t xml:space="preserve"> </w:t>
      </w:r>
      <w:proofErr w:type="spellStart"/>
      <w:r w:rsidRPr="006931BD">
        <w:rPr>
          <w:rFonts w:eastAsia="Arial Unicode MS"/>
          <w:sz w:val="22"/>
          <w:szCs w:val="22"/>
          <w:lang w:val="en-US"/>
        </w:rPr>
        <w:t>Abbasov</w:t>
      </w:r>
      <w:proofErr w:type="spellEnd"/>
      <w:r w:rsidRPr="006931BD">
        <w:rPr>
          <w:rFonts w:eastAsia="Arial Unicode MS"/>
          <w:sz w:val="22"/>
          <w:szCs w:val="22"/>
          <w:lang w:val="en-US"/>
        </w:rPr>
        <w:t>, Transport &amp; Environment</w:t>
      </w:r>
      <w:r w:rsidRPr="006931BD">
        <w:rPr>
          <w:rFonts w:eastAsia="Arial Unicode MS"/>
          <w:sz w:val="22"/>
          <w:szCs w:val="22"/>
          <w:lang w:val="en-US"/>
        </w:rPr>
        <w:br/>
        <w:t>Dominik Englert, World Bank</w:t>
      </w:r>
      <w:r w:rsidRPr="006931BD">
        <w:rPr>
          <w:rFonts w:eastAsia="Arial Unicode MS"/>
          <w:sz w:val="22"/>
          <w:szCs w:val="22"/>
          <w:lang w:val="en-US"/>
        </w:rPr>
        <w:br/>
        <w:t xml:space="preserve">Andrew </w:t>
      </w:r>
      <w:proofErr w:type="spellStart"/>
      <w:r w:rsidRPr="006931BD">
        <w:rPr>
          <w:rFonts w:eastAsia="Arial Unicode MS"/>
          <w:sz w:val="22"/>
          <w:szCs w:val="22"/>
          <w:lang w:val="en-US"/>
        </w:rPr>
        <w:t>Losos</w:t>
      </w:r>
      <w:proofErr w:type="spellEnd"/>
      <w:r w:rsidRPr="006931BD">
        <w:rPr>
          <w:rFonts w:eastAsia="Arial Unicode MS"/>
          <w:sz w:val="22"/>
          <w:szCs w:val="22"/>
          <w:lang w:val="en-US"/>
        </w:rPr>
        <w:t xml:space="preserve">, World Bank </w:t>
      </w:r>
    </w:p>
    <w:p w14:paraId="0E54CA49" w14:textId="0BE82CF8" w:rsidR="003214C0" w:rsidRPr="00171003" w:rsidRDefault="00DB76F0" w:rsidP="00862F7C">
      <w:pPr>
        <w:jc w:val="left"/>
        <w:rPr>
          <w:rFonts w:eastAsia="Arial Unicode MS"/>
          <w:sz w:val="22"/>
          <w:szCs w:val="22"/>
          <w:lang w:val="en-US"/>
        </w:rPr>
      </w:pPr>
      <w:r w:rsidRPr="006931BD">
        <w:rPr>
          <w:rFonts w:eastAsia="Arial Unicode MS"/>
          <w:sz w:val="22"/>
          <w:szCs w:val="22"/>
          <w:lang w:val="en-US"/>
        </w:rPr>
        <w:t xml:space="preserve">Mark Lutes, </w:t>
      </w:r>
      <w:proofErr w:type="gramStart"/>
      <w:r w:rsidRPr="00171003">
        <w:rPr>
          <w:rFonts w:eastAsia="Arial Unicode MS"/>
          <w:sz w:val="22"/>
          <w:szCs w:val="22"/>
          <w:lang w:val="en-US"/>
        </w:rPr>
        <w:t>World Wide</w:t>
      </w:r>
      <w:proofErr w:type="gramEnd"/>
      <w:r w:rsidRPr="00171003">
        <w:rPr>
          <w:rFonts w:eastAsia="Arial Unicode MS"/>
          <w:sz w:val="22"/>
          <w:szCs w:val="22"/>
          <w:lang w:val="en-US"/>
        </w:rPr>
        <w:t xml:space="preserve"> Fund for Nature</w:t>
      </w:r>
    </w:p>
    <w:sectPr w:rsidR="003214C0" w:rsidRPr="00171003" w:rsidSect="00E516E6">
      <w:footerReference w:type="even" r:id="rId11"/>
      <w:footerReference w:type="default" r:id="rId12"/>
      <w:pgSz w:w="11900" w:h="16840"/>
      <w:pgMar w:top="1440" w:right="1440" w:bottom="132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0CF72" w14:textId="77777777" w:rsidR="00980DC8" w:rsidRDefault="00980DC8" w:rsidP="009205FE">
      <w:r>
        <w:separator/>
      </w:r>
    </w:p>
  </w:endnote>
  <w:endnote w:type="continuationSeparator" w:id="0">
    <w:p w14:paraId="272EFF34" w14:textId="77777777" w:rsidR="00980DC8" w:rsidRDefault="00980DC8" w:rsidP="00920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w:altName w:val="Gill Sans"/>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Ciutadella Regular">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7596013"/>
      <w:docPartObj>
        <w:docPartGallery w:val="Page Numbers (Bottom of Page)"/>
        <w:docPartUnique/>
      </w:docPartObj>
    </w:sdtPr>
    <w:sdtEndPr>
      <w:rPr>
        <w:rStyle w:val="PageNumber"/>
      </w:rPr>
    </w:sdtEndPr>
    <w:sdtContent>
      <w:p w14:paraId="399A2DF1" w14:textId="622BEE9C" w:rsidR="004C4A41" w:rsidRDefault="004C4A41" w:rsidP="00F448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1083B9" w14:textId="77777777" w:rsidR="004C4A41" w:rsidRDefault="004C4A41" w:rsidP="00E51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430711"/>
      <w:docPartObj>
        <w:docPartGallery w:val="Page Numbers (Bottom of Page)"/>
        <w:docPartUnique/>
      </w:docPartObj>
    </w:sdtPr>
    <w:sdtEndPr>
      <w:rPr>
        <w:rStyle w:val="PageNumber"/>
      </w:rPr>
    </w:sdtEndPr>
    <w:sdtContent>
      <w:p w14:paraId="5E622BA1" w14:textId="12ACCE5E" w:rsidR="004C4A41" w:rsidRDefault="004C4A41" w:rsidP="00F448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CA3BB9" w14:textId="77777777" w:rsidR="004C4A41" w:rsidRDefault="004C4A41" w:rsidP="00E516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0616E" w14:textId="77777777" w:rsidR="00980DC8" w:rsidRDefault="00980DC8" w:rsidP="009205FE">
      <w:r>
        <w:separator/>
      </w:r>
    </w:p>
  </w:footnote>
  <w:footnote w:type="continuationSeparator" w:id="0">
    <w:p w14:paraId="08674CB4" w14:textId="77777777" w:rsidR="00980DC8" w:rsidRDefault="00980DC8" w:rsidP="009205FE">
      <w:r>
        <w:continuationSeparator/>
      </w:r>
    </w:p>
  </w:footnote>
  <w:footnote w:id="1">
    <w:p w14:paraId="002A83C1" w14:textId="6A5F2119" w:rsidR="004C4A41" w:rsidRPr="003626B3" w:rsidRDefault="004C4A41" w:rsidP="009205FE">
      <w:pPr>
        <w:pStyle w:val="FootnoteText"/>
        <w:rPr>
          <w:lang w:val="en-GB"/>
        </w:rPr>
      </w:pPr>
      <w:r w:rsidRPr="003626B3">
        <w:rPr>
          <w:rStyle w:val="FootnoteReference"/>
          <w:rFonts w:cstheme="majorHAnsi"/>
        </w:rPr>
        <w:footnoteRef/>
      </w:r>
      <w:r w:rsidRPr="003626B3">
        <w:t xml:space="preserve"> </w:t>
      </w:r>
      <w:r w:rsidRPr="003626B3">
        <w:rPr>
          <w:lang w:val="en-GB"/>
        </w:rPr>
        <w:t xml:space="preserve">A programme is a set of actions (technological or operational) that are applied to a single ship or multiple ships, </w:t>
      </w:r>
      <w:r w:rsidRPr="003626B3">
        <w:t>e.g. retrofit technologies for an existing ship or fleet of ships or fleet/port-based initiatives such as speed management</w:t>
      </w:r>
      <w:r w:rsidRPr="003626B3">
        <w:rPr>
          <w:lang w:val="en-GB"/>
        </w:rPr>
        <w:t>.</w:t>
      </w:r>
    </w:p>
  </w:footnote>
  <w:footnote w:id="2">
    <w:p w14:paraId="3C3D869F" w14:textId="77777777" w:rsidR="004C4A41" w:rsidRPr="003626B3" w:rsidRDefault="004C4A41" w:rsidP="009205FE">
      <w:pPr>
        <w:rPr>
          <w:rFonts w:ascii="Helvetica" w:eastAsia="Helvetica" w:hAnsi="Helvetica" w:cs="Times New Roman"/>
          <w:color w:val="000000"/>
          <w:sz w:val="18"/>
          <w:szCs w:val="20"/>
          <w:lang w:val="x-none" w:eastAsia="en-GB"/>
        </w:rPr>
      </w:pPr>
      <w:r w:rsidRPr="003626B3">
        <w:rPr>
          <w:rStyle w:val="FootnoteReference"/>
        </w:rPr>
        <w:footnoteRef/>
      </w:r>
      <w:r w:rsidRPr="003626B3">
        <w:rPr>
          <w:rFonts w:ascii="Helvetica" w:hAnsi="Helvetica"/>
        </w:rPr>
        <w:t xml:space="preserve"> </w:t>
      </w:r>
      <w:r w:rsidRPr="003626B3">
        <w:rPr>
          <w:rFonts w:ascii="Helvetica" w:eastAsia="Helvetica" w:hAnsi="Helvetica" w:cs="Times New Roman"/>
          <w:color w:val="000000"/>
          <w:sz w:val="18"/>
          <w:szCs w:val="20"/>
          <w:lang w:val="x-none" w:eastAsia="en-GB"/>
        </w:rPr>
        <w:t xml:space="preserve">As carriage of synthetic/bio equivalents to fossil fuels increases and as data and transparency on cargo activity improves, exemption based on ship type alone will be reviewed, with the possibility of introducing additional criteria on cargo types. </w:t>
      </w:r>
    </w:p>
  </w:footnote>
  <w:footnote w:id="3">
    <w:p w14:paraId="270EA990" w14:textId="117352D4" w:rsidR="004C4A41" w:rsidRPr="003626B3" w:rsidRDefault="004C4A41">
      <w:pPr>
        <w:pStyle w:val="FootnoteText"/>
        <w:rPr>
          <w:lang w:val="en-GB"/>
        </w:rPr>
      </w:pPr>
      <w:r w:rsidRPr="003626B3">
        <w:rPr>
          <w:rStyle w:val="FootnoteReference"/>
        </w:rPr>
        <w:footnoteRef/>
      </w:r>
      <w:r w:rsidRPr="003626B3">
        <w:t xml:space="preserve"> </w:t>
      </w:r>
      <w:r w:rsidRPr="003626B3">
        <w:rPr>
          <w:lang w:val="en-GB"/>
        </w:rPr>
        <w:t>The EU MRV data regime is available for voyages that include ports within EU member states.</w:t>
      </w:r>
    </w:p>
  </w:footnote>
  <w:footnote w:id="4">
    <w:p w14:paraId="3C4D2855" w14:textId="6565C830" w:rsidR="004C4A41" w:rsidRPr="003626B3" w:rsidRDefault="004C4A41">
      <w:pPr>
        <w:pStyle w:val="FootnoteText"/>
        <w:rPr>
          <w:lang w:val="en-GB"/>
        </w:rPr>
      </w:pPr>
      <w:r w:rsidRPr="003626B3">
        <w:rPr>
          <w:rStyle w:val="FootnoteReference"/>
        </w:rPr>
        <w:footnoteRef/>
      </w:r>
      <w:r w:rsidRPr="003626B3">
        <w:t xml:space="preserve"> </w:t>
      </w:r>
      <w:r w:rsidRPr="003626B3">
        <w:rPr>
          <w:lang w:val="en-GB"/>
        </w:rPr>
        <w:t xml:space="preserve">The IMO DCS data regime for ships performing international voyages. </w:t>
      </w:r>
    </w:p>
  </w:footnote>
  <w:footnote w:id="5">
    <w:p w14:paraId="6E0A3F3A" w14:textId="77777777" w:rsidR="004C4A41" w:rsidRPr="003626B3" w:rsidRDefault="004C4A41" w:rsidP="00052151">
      <w:pPr>
        <w:pStyle w:val="Normal1"/>
        <w:rPr>
          <w:rFonts w:ascii="Helvetica" w:hAnsi="Helvetica" w:cstheme="minorHAnsi"/>
          <w:b/>
          <w:bCs/>
        </w:rPr>
      </w:pPr>
      <w:r w:rsidRPr="003626B3">
        <w:rPr>
          <w:rStyle w:val="FootnoteReference"/>
        </w:rPr>
        <w:footnoteRef/>
      </w:r>
      <w:r w:rsidRPr="003626B3">
        <w:rPr>
          <w:rFonts w:ascii="Helvetica" w:hAnsi="Helvetica"/>
        </w:rPr>
        <w:t xml:space="preserve"> </w:t>
      </w:r>
      <w:r w:rsidRPr="003626B3">
        <w:rPr>
          <w:rFonts w:ascii="Helvetica" w:eastAsia="Helvetica" w:hAnsi="Helvetica" w:cs="Times New Roman"/>
          <w:i w:val="0"/>
          <w:iCs w:val="0"/>
          <w:color w:val="000000"/>
          <w:sz w:val="18"/>
          <w:lang w:val="x-none" w:eastAsia="en-GB"/>
        </w:rPr>
        <w:t>These fuels are listed in “</w:t>
      </w:r>
      <w:r w:rsidRPr="003626B3">
        <w:rPr>
          <w:rFonts w:ascii="Helvetica" w:eastAsia="Helvetica" w:hAnsi="Helvetica" w:cs="Times New Roman"/>
          <w:i w:val="0"/>
          <w:iCs w:val="0"/>
          <w:color w:val="000000"/>
          <w:sz w:val="18"/>
          <w:lang w:eastAsia="en-GB"/>
        </w:rPr>
        <w:t>M</w:t>
      </w:r>
      <w:r w:rsidRPr="003626B3">
        <w:rPr>
          <w:rFonts w:ascii="Helvetica" w:eastAsia="Helvetica" w:hAnsi="Helvetica" w:cs="Times New Roman"/>
          <w:i w:val="0"/>
          <w:iCs w:val="0"/>
          <w:color w:val="000000"/>
          <w:sz w:val="18"/>
          <w:lang w:val="x-none" w:eastAsia="en-GB"/>
        </w:rPr>
        <w:t xml:space="preserve">anaged </w:t>
      </w:r>
      <w:r w:rsidRPr="003626B3">
        <w:rPr>
          <w:rFonts w:ascii="Helvetica" w:eastAsia="Helvetica" w:hAnsi="Helvetica" w:cs="Times New Roman"/>
          <w:i w:val="0"/>
          <w:iCs w:val="0"/>
          <w:color w:val="000000"/>
          <w:sz w:val="18"/>
          <w:lang w:eastAsia="en-GB"/>
        </w:rPr>
        <w:t>R</w:t>
      </w:r>
      <w:r w:rsidRPr="003626B3">
        <w:rPr>
          <w:rFonts w:ascii="Helvetica" w:eastAsia="Helvetica" w:hAnsi="Helvetica" w:cs="Times New Roman"/>
          <w:i w:val="0"/>
          <w:iCs w:val="0"/>
          <w:color w:val="000000"/>
          <w:sz w:val="18"/>
          <w:lang w:val="x-none" w:eastAsia="en-GB"/>
        </w:rPr>
        <w:t xml:space="preserve">eduction </w:t>
      </w:r>
      <w:r w:rsidRPr="003626B3">
        <w:rPr>
          <w:rFonts w:ascii="Helvetica" w:eastAsia="Helvetica" w:hAnsi="Helvetica" w:cs="Times New Roman"/>
          <w:i w:val="0"/>
          <w:iCs w:val="0"/>
          <w:color w:val="000000"/>
          <w:sz w:val="18"/>
          <w:lang w:eastAsia="en-GB"/>
        </w:rPr>
        <w:t>P</w:t>
      </w:r>
      <w:r w:rsidRPr="003626B3">
        <w:rPr>
          <w:rFonts w:ascii="Helvetica" w:eastAsia="Helvetica" w:hAnsi="Helvetica" w:cs="Times New Roman"/>
          <w:i w:val="0"/>
          <w:iCs w:val="0"/>
          <w:color w:val="000000"/>
          <w:sz w:val="18"/>
          <w:lang w:val="x-none" w:eastAsia="en-GB"/>
        </w:rPr>
        <w:t>lan”</w:t>
      </w:r>
      <w:r w:rsidRPr="003626B3">
        <w:rPr>
          <w:rFonts w:ascii="Helvetica" w:eastAsia="Helvetica" w:hAnsi="Helvetica" w:cs="Times New Roman"/>
          <w:i w:val="0"/>
          <w:iCs w:val="0"/>
          <w:color w:val="000000"/>
          <w:sz w:val="18"/>
          <w:lang w:eastAsia="en-GB"/>
        </w:rPr>
        <w:t xml:space="preserve"> guidance on page </w:t>
      </w:r>
      <w:r>
        <w:rPr>
          <w:rFonts w:ascii="Helvetica" w:eastAsia="Helvetica" w:hAnsi="Helvetica" w:cs="Times New Roman"/>
          <w:i w:val="0"/>
          <w:iCs w:val="0"/>
          <w:color w:val="000000"/>
          <w:sz w:val="18"/>
          <w:lang w:eastAsia="en-GB"/>
        </w:rPr>
        <w:t>9.</w:t>
      </w:r>
    </w:p>
  </w:footnote>
  <w:footnote w:id="6">
    <w:p w14:paraId="5491CA49" w14:textId="0DFB9AAA" w:rsidR="00F45ACD" w:rsidRDefault="004C4A41" w:rsidP="00F45ACD">
      <w:r w:rsidRPr="00852E07">
        <w:rPr>
          <w:rFonts w:ascii="Helvetica" w:eastAsia="Helvetica" w:hAnsi="Helvetica" w:cs="Times New Roman"/>
          <w:color w:val="000000"/>
          <w:sz w:val="18"/>
          <w:szCs w:val="20"/>
          <w:lang w:val="x-none" w:eastAsia="en-GB"/>
        </w:rPr>
        <w:t xml:space="preserve">* </w:t>
      </w:r>
      <w:r>
        <w:rPr>
          <w:rFonts w:ascii="Helvetica" w:eastAsia="Helvetica" w:hAnsi="Helvetica" w:cs="Times New Roman"/>
          <w:color w:val="000000"/>
          <w:sz w:val="18"/>
          <w:szCs w:val="20"/>
          <w:lang w:eastAsia="en-GB"/>
        </w:rPr>
        <w:t xml:space="preserve">For bonds where proceeds will be used for dry bulk carriers, issuers must show that (a) coal did not constitute more than 25% of dry bulk by tons carried by the firm over the previous 3 years, based on the bills of lading, and (b) </w:t>
      </w:r>
      <w:r w:rsidR="00F45ACD">
        <w:rPr>
          <w:rFonts w:ascii="Helvetica" w:eastAsia="Helvetica" w:hAnsi="Helvetica" w:cs="Times New Roman"/>
          <w:color w:val="000000"/>
          <w:sz w:val="18"/>
          <w:szCs w:val="20"/>
          <w:lang w:eastAsia="en-GB"/>
        </w:rPr>
        <w:t xml:space="preserve">the volume of coal transported by the vessel does not exceed the declining threshold for allowable coal carried. This threshold follows a geometric decay model starting at 25% in 2020, decreasing at 5.3% per year as consistent with the IEA SDS and is based on the bills of lading. </w:t>
      </w:r>
    </w:p>
    <w:p w14:paraId="04A514C5" w14:textId="2196D958" w:rsidR="004C4A41" w:rsidRPr="00171003" w:rsidRDefault="004C4A41" w:rsidP="00852E07">
      <w:pPr>
        <w:rPr>
          <w:rFonts w:ascii="Helvetica" w:eastAsia="Helvetica" w:hAnsi="Helvetica" w:cs="Times New Roman"/>
          <w:color w:val="000000"/>
          <w:sz w:val="18"/>
          <w:szCs w:val="20"/>
          <w:lang w:eastAsia="en-GB"/>
        </w:rPr>
      </w:pPr>
      <w:r w:rsidRPr="003626B3">
        <w:rPr>
          <w:rStyle w:val="FootnoteReference"/>
        </w:rPr>
        <w:footnoteRef/>
      </w:r>
      <w:r w:rsidRPr="003626B3">
        <w:t xml:space="preserve"> </w:t>
      </w:r>
      <w:r w:rsidRPr="00852E07">
        <w:rPr>
          <w:rFonts w:ascii="Helvetica" w:eastAsia="Helvetica" w:hAnsi="Helvetica" w:cs="Times New Roman"/>
          <w:color w:val="000000"/>
          <w:sz w:val="18"/>
          <w:szCs w:val="20"/>
          <w:lang w:val="x-none" w:eastAsia="en-GB"/>
        </w:rPr>
        <w:t>In the case of a newbuild, the year of bond issuance may not be the same year the ship is operating. In this case, the ship must meet the alignment criteria from the first year the ship is expected to be in operation.</w:t>
      </w:r>
    </w:p>
  </w:footnote>
  <w:footnote w:id="7">
    <w:p w14:paraId="4C1A752D" w14:textId="62806CB3" w:rsidR="004C4A41" w:rsidRPr="003626B3" w:rsidRDefault="004C4A41" w:rsidP="00DF1C7E">
      <w:pPr>
        <w:pStyle w:val="FootnoteText"/>
      </w:pPr>
      <w:r w:rsidRPr="003626B3">
        <w:rPr>
          <w:rStyle w:val="FootnoteReference"/>
        </w:rPr>
        <w:footnoteRef/>
      </w:r>
      <w:r w:rsidRPr="003626B3">
        <w:t xml:space="preserve"> Refer to Annex 1. to identify the respective, initial emissions intensity for a certain size and class of ship. The threshold declines to zero by 2050</w:t>
      </w:r>
      <w:r>
        <w:rPr>
          <w:lang w:val="en-GB"/>
        </w:rPr>
        <w:t>.</w:t>
      </w:r>
      <w:r w:rsidRPr="003626B3">
        <w:t xml:space="preserve"> </w:t>
      </w:r>
    </w:p>
  </w:footnote>
  <w:footnote w:id="8">
    <w:p w14:paraId="21E7DE86" w14:textId="77777777" w:rsidR="004C4A41" w:rsidRPr="003626B3" w:rsidRDefault="004C4A41" w:rsidP="009205FE">
      <w:pPr>
        <w:pStyle w:val="FootnoteText"/>
      </w:pPr>
      <w:r w:rsidRPr="003626B3">
        <w:rPr>
          <w:rStyle w:val="FootnoteReference"/>
          <w:rFonts w:cstheme="majorHAnsi"/>
          <w:sz w:val="15"/>
          <w:szCs w:val="15"/>
        </w:rPr>
        <w:footnoteRef/>
      </w:r>
      <w:r w:rsidRPr="003626B3">
        <w:t xml:space="preserve"> In the case of passenger ships (i.e., cruise and ferry), gCO2-e/GT is used. GT is the gross tonnage of the ship, a proxy for number of passengers. </w:t>
      </w:r>
    </w:p>
  </w:footnote>
  <w:footnote w:id="9">
    <w:p w14:paraId="618C8938" w14:textId="77777777" w:rsidR="004C4A41" w:rsidRPr="003626B3" w:rsidRDefault="004C4A41" w:rsidP="009205FE">
      <w:pPr>
        <w:pStyle w:val="FootnoteText"/>
        <w:rPr>
          <w:lang w:val="en-GB"/>
        </w:rPr>
      </w:pPr>
      <w:r w:rsidRPr="003626B3">
        <w:rPr>
          <w:rStyle w:val="FootnoteReference"/>
          <w:rFonts w:cstheme="majorHAnsi"/>
        </w:rPr>
        <w:footnoteRef/>
      </w:r>
      <w:r w:rsidRPr="003626B3">
        <w:t xml:space="preserve"> </w:t>
      </w:r>
      <w:r w:rsidRPr="003626B3">
        <w:rPr>
          <w:lang w:val="en-GB"/>
        </w:rPr>
        <w:t xml:space="preserve">Applies to voyages which have a </w:t>
      </w:r>
      <w:r w:rsidRPr="003626B3">
        <w:t>last port of call to a port of call under the jurisdiction of an EU Member State and from a port of call under the jurisdiction of a EU Member State to their next port of call, as well as within ports of call under the</w:t>
      </w:r>
      <w:r w:rsidRPr="003626B3">
        <w:rPr>
          <w:lang w:val="en-GB"/>
        </w:rPr>
        <w:t xml:space="preserve"> </w:t>
      </w:r>
      <w:r w:rsidRPr="003626B3">
        <w:t>jurisdiction of an EU Member State</w:t>
      </w:r>
      <w:r w:rsidRPr="003626B3">
        <w:rPr>
          <w:lang w:val="en-GB"/>
        </w:rPr>
        <w:t>.</w:t>
      </w:r>
    </w:p>
  </w:footnote>
  <w:footnote w:id="10">
    <w:p w14:paraId="45088DA1" w14:textId="737032A2" w:rsidR="004C4A41" w:rsidRPr="003626B3" w:rsidRDefault="004C4A41">
      <w:pPr>
        <w:pStyle w:val="FootnoteText"/>
        <w:rPr>
          <w:lang w:val="en-GB"/>
        </w:rPr>
      </w:pPr>
      <w:r w:rsidRPr="003626B3">
        <w:rPr>
          <w:rStyle w:val="FootnoteReference"/>
        </w:rPr>
        <w:footnoteRef/>
      </w:r>
      <w:r w:rsidRPr="003626B3">
        <w:t xml:space="preserve"> Cost-effective, in this case, means that if the planned means to achieve compliance with carbon-equivalent intensity trajectories include some future retrofit or switch in energy source, this can be achieved without significant additional costs (whether capital or operating costs) relative to foreseeable future assets, such that the asset should remain competitive. </w:t>
      </w:r>
    </w:p>
  </w:footnote>
  <w:footnote w:id="11">
    <w:p w14:paraId="134D816F" w14:textId="39BE17D5" w:rsidR="004C4A41" w:rsidRPr="003626B3" w:rsidRDefault="004C4A41">
      <w:pPr>
        <w:pStyle w:val="FootnoteText"/>
        <w:rPr>
          <w:lang w:val="en-GB"/>
        </w:rPr>
      </w:pPr>
      <w:r w:rsidRPr="003626B3">
        <w:rPr>
          <w:rStyle w:val="FootnoteReference"/>
        </w:rPr>
        <w:footnoteRef/>
      </w:r>
      <w:r w:rsidRPr="003626B3">
        <w:t xml:space="preserve"> </w:t>
      </w:r>
      <w:r w:rsidRPr="003626B3">
        <w:rPr>
          <w:lang w:val="en-GB"/>
        </w:rPr>
        <w:t>As listed in Part A, Annex IX of the EU Renewable Energy Directive (2018/2001/EU).</w:t>
      </w:r>
    </w:p>
  </w:footnote>
  <w:footnote w:id="12">
    <w:p w14:paraId="41546E56" w14:textId="2C121425" w:rsidR="004C4A41" w:rsidRPr="003626B3" w:rsidRDefault="004C4A41" w:rsidP="009205FE">
      <w:pPr>
        <w:pStyle w:val="FootnoteText"/>
      </w:pPr>
      <w:r w:rsidRPr="003626B3">
        <w:rPr>
          <w:rStyle w:val="FootnoteReference"/>
        </w:rPr>
        <w:footnoteRef/>
      </w:r>
      <w:r w:rsidRPr="003626B3">
        <w:t xml:space="preserve"> This will be reviewed periodically and may by subject to change. Certifications will not be removed retroactively.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FE0A7E"/>
    <w:multiLevelType w:val="hybridMultilevel"/>
    <w:tmpl w:val="7FC04CE6"/>
    <w:lvl w:ilvl="0" w:tplc="ECA07D8A">
      <w:start w:val="10"/>
      <w:numFmt w:val="bullet"/>
      <w:lvlText w:val="-"/>
      <w:lvlJc w:val="left"/>
      <w:pPr>
        <w:ind w:left="720" w:hanging="360"/>
      </w:pPr>
      <w:rPr>
        <w:rFonts w:ascii="Gill Sans" w:eastAsia="Arial Unicode MS" w:hAnsi="Gill Sans"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33384"/>
    <w:multiLevelType w:val="hybridMultilevel"/>
    <w:tmpl w:val="020CE1E2"/>
    <w:lvl w:ilvl="0" w:tplc="384AC9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B1CCB"/>
    <w:multiLevelType w:val="hybridMultilevel"/>
    <w:tmpl w:val="C018E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B4E82"/>
    <w:multiLevelType w:val="hybridMultilevel"/>
    <w:tmpl w:val="5666FB8A"/>
    <w:lvl w:ilvl="0" w:tplc="384AC9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43949"/>
    <w:multiLevelType w:val="hybridMultilevel"/>
    <w:tmpl w:val="DF0C6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C2B34"/>
    <w:multiLevelType w:val="hybridMultilevel"/>
    <w:tmpl w:val="C1E27648"/>
    <w:lvl w:ilvl="0" w:tplc="0EE0103E">
      <w:start w:val="5"/>
      <w:numFmt w:val="bullet"/>
      <w:lvlText w:val="-"/>
      <w:lvlJc w:val="left"/>
      <w:pPr>
        <w:ind w:left="360" w:hanging="360"/>
      </w:pPr>
      <w:rPr>
        <w:rFonts w:ascii="Gill Sans Light" w:eastAsia="Arial Unicode MS" w:hAnsi="Gill Sans Light" w:cs="Gill Sans Ligh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4D6B82"/>
    <w:multiLevelType w:val="multilevel"/>
    <w:tmpl w:val="5588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07785"/>
    <w:multiLevelType w:val="hybridMultilevel"/>
    <w:tmpl w:val="B178F824"/>
    <w:lvl w:ilvl="0" w:tplc="E4B479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C555B2"/>
    <w:multiLevelType w:val="hybridMultilevel"/>
    <w:tmpl w:val="CDF4B1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3F3096"/>
    <w:multiLevelType w:val="hybridMultilevel"/>
    <w:tmpl w:val="80A80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BC1762"/>
    <w:multiLevelType w:val="hybridMultilevel"/>
    <w:tmpl w:val="69706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E50065"/>
    <w:multiLevelType w:val="hybridMultilevel"/>
    <w:tmpl w:val="AC64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F84809"/>
    <w:multiLevelType w:val="hybridMultilevel"/>
    <w:tmpl w:val="C48E09FA"/>
    <w:lvl w:ilvl="0" w:tplc="194E4E5E">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F5B3F"/>
    <w:multiLevelType w:val="hybridMultilevel"/>
    <w:tmpl w:val="9D600942"/>
    <w:lvl w:ilvl="0" w:tplc="898AEC52">
      <w:start w:val="1"/>
      <w:numFmt w:val="decimal"/>
      <w:lvlText w:val="%1."/>
      <w:lvlJc w:val="left"/>
      <w:pPr>
        <w:ind w:left="1080" w:hanging="360"/>
        <w:jc w:val="right"/>
      </w:pPr>
      <w:rPr>
        <w:rFonts w:ascii="Ciutadella Regular" w:eastAsia="Ciutadella Regular" w:hAnsi="Ciutadella Regular" w:cs="Ciutadella Regular" w:hint="default"/>
        <w:color w:val="042D40"/>
        <w:spacing w:val="-10"/>
        <w:w w:val="100"/>
        <w:sz w:val="24"/>
        <w:szCs w:val="24"/>
      </w:rPr>
    </w:lvl>
    <w:lvl w:ilvl="1" w:tplc="A1163F80">
      <w:start w:val="1"/>
      <w:numFmt w:val="decimal"/>
      <w:lvlText w:val="%2."/>
      <w:lvlJc w:val="left"/>
      <w:pPr>
        <w:ind w:left="1080" w:hanging="360"/>
      </w:pPr>
      <w:rPr>
        <w:rFonts w:ascii="Ciutadella Regular" w:eastAsia="Ciutadella Regular" w:hAnsi="Ciutadella Regular" w:cs="Ciutadella Regular" w:hint="default"/>
        <w:color w:val="042D40"/>
        <w:spacing w:val="-9"/>
        <w:w w:val="100"/>
        <w:sz w:val="24"/>
        <w:szCs w:val="24"/>
      </w:rPr>
    </w:lvl>
    <w:lvl w:ilvl="2" w:tplc="9BC08D2A">
      <w:numFmt w:val="bullet"/>
      <w:lvlText w:val="•"/>
      <w:lvlJc w:val="left"/>
      <w:pPr>
        <w:ind w:left="2904" w:hanging="360"/>
      </w:pPr>
      <w:rPr>
        <w:rFonts w:hint="default"/>
      </w:rPr>
    </w:lvl>
    <w:lvl w:ilvl="3" w:tplc="1E223DAC">
      <w:numFmt w:val="bullet"/>
      <w:lvlText w:val="•"/>
      <w:lvlJc w:val="left"/>
      <w:pPr>
        <w:ind w:left="3814" w:hanging="360"/>
      </w:pPr>
      <w:rPr>
        <w:rFonts w:hint="default"/>
      </w:rPr>
    </w:lvl>
    <w:lvl w:ilvl="4" w:tplc="3FFE7D52">
      <w:numFmt w:val="bullet"/>
      <w:lvlText w:val="•"/>
      <w:lvlJc w:val="left"/>
      <w:pPr>
        <w:ind w:left="4725" w:hanging="360"/>
      </w:pPr>
      <w:rPr>
        <w:rFonts w:hint="default"/>
      </w:rPr>
    </w:lvl>
    <w:lvl w:ilvl="5" w:tplc="47A63A82">
      <w:numFmt w:val="bullet"/>
      <w:lvlText w:val="•"/>
      <w:lvlJc w:val="left"/>
      <w:pPr>
        <w:ind w:left="5635" w:hanging="360"/>
      </w:pPr>
      <w:rPr>
        <w:rFonts w:hint="default"/>
      </w:rPr>
    </w:lvl>
    <w:lvl w:ilvl="6" w:tplc="1A7ED0DE">
      <w:numFmt w:val="bullet"/>
      <w:lvlText w:val="•"/>
      <w:lvlJc w:val="left"/>
      <w:pPr>
        <w:ind w:left="6546" w:hanging="360"/>
      </w:pPr>
      <w:rPr>
        <w:rFonts w:hint="default"/>
      </w:rPr>
    </w:lvl>
    <w:lvl w:ilvl="7" w:tplc="547A4278">
      <w:numFmt w:val="bullet"/>
      <w:lvlText w:val="•"/>
      <w:lvlJc w:val="left"/>
      <w:pPr>
        <w:ind w:left="7456" w:hanging="360"/>
      </w:pPr>
      <w:rPr>
        <w:rFonts w:hint="default"/>
      </w:rPr>
    </w:lvl>
    <w:lvl w:ilvl="8" w:tplc="58227896">
      <w:numFmt w:val="bullet"/>
      <w:lvlText w:val="•"/>
      <w:lvlJc w:val="left"/>
      <w:pPr>
        <w:ind w:left="8367" w:hanging="360"/>
      </w:pPr>
      <w:rPr>
        <w:rFonts w:hint="default"/>
      </w:rPr>
    </w:lvl>
  </w:abstractNum>
  <w:abstractNum w:abstractNumId="16" w15:restartNumberingAfterBreak="0">
    <w:nsid w:val="3742100B"/>
    <w:multiLevelType w:val="hybridMultilevel"/>
    <w:tmpl w:val="6CDE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6B2C5A"/>
    <w:multiLevelType w:val="hybridMultilevel"/>
    <w:tmpl w:val="ABA6A0FE"/>
    <w:lvl w:ilvl="0" w:tplc="7990FDA4">
      <w:start w:val="1"/>
      <w:numFmt w:val="decimal"/>
      <w:lvlText w:val="%1."/>
      <w:lvlJc w:val="left"/>
      <w:pPr>
        <w:ind w:left="720" w:hanging="360"/>
      </w:pPr>
      <w:rPr>
        <w:rFonts w:asciiTheme="majorHAnsi" w:eastAsiaTheme="majorEastAsia" w:hAnsiTheme="majorHAnsi" w:cstheme="majorBidi" w:hint="default"/>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B02E85"/>
    <w:multiLevelType w:val="hybridMultilevel"/>
    <w:tmpl w:val="A2EEF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768BC"/>
    <w:multiLevelType w:val="hybridMultilevel"/>
    <w:tmpl w:val="9032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F00157"/>
    <w:multiLevelType w:val="hybridMultilevel"/>
    <w:tmpl w:val="25688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434EC"/>
    <w:multiLevelType w:val="hybridMultilevel"/>
    <w:tmpl w:val="4FCCAE1A"/>
    <w:lvl w:ilvl="0" w:tplc="CBAE7068">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2F2E24"/>
    <w:multiLevelType w:val="hybridMultilevel"/>
    <w:tmpl w:val="B7C0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43AE2"/>
    <w:multiLevelType w:val="hybridMultilevel"/>
    <w:tmpl w:val="80A80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9B58F1"/>
    <w:multiLevelType w:val="hybridMultilevel"/>
    <w:tmpl w:val="2FF89ECE"/>
    <w:lvl w:ilvl="0" w:tplc="384AC9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C6782"/>
    <w:multiLevelType w:val="hybridMultilevel"/>
    <w:tmpl w:val="B49E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53756"/>
    <w:multiLevelType w:val="hybridMultilevel"/>
    <w:tmpl w:val="54468558"/>
    <w:lvl w:ilvl="0" w:tplc="21563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BA7AFC"/>
    <w:multiLevelType w:val="hybridMultilevel"/>
    <w:tmpl w:val="B4D0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E58AD"/>
    <w:multiLevelType w:val="hybridMultilevel"/>
    <w:tmpl w:val="5288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5526C"/>
    <w:multiLevelType w:val="hybridMultilevel"/>
    <w:tmpl w:val="0A1AF360"/>
    <w:lvl w:ilvl="0" w:tplc="6E7293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DD5D87"/>
    <w:multiLevelType w:val="hybridMultilevel"/>
    <w:tmpl w:val="B5782F84"/>
    <w:lvl w:ilvl="0" w:tplc="384AC9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1A64DD"/>
    <w:multiLevelType w:val="hybridMultilevel"/>
    <w:tmpl w:val="07F47CFE"/>
    <w:lvl w:ilvl="0" w:tplc="9632AA40">
      <w:start w:val="16"/>
      <w:numFmt w:val="bullet"/>
      <w:lvlText w:val="-"/>
      <w:lvlJc w:val="left"/>
      <w:pPr>
        <w:ind w:left="720" w:hanging="360"/>
      </w:pPr>
      <w:rPr>
        <w:rFonts w:ascii="Gill Sans Light" w:eastAsia="Arial Unicode MS" w:hAnsi="Gill Sans Light" w:cs="Gill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B763B7"/>
    <w:multiLevelType w:val="hybridMultilevel"/>
    <w:tmpl w:val="6DF2599E"/>
    <w:lvl w:ilvl="0" w:tplc="7990FDA4">
      <w:start w:val="1"/>
      <w:numFmt w:val="decimal"/>
      <w:lvlText w:val="%1."/>
      <w:lvlJc w:val="left"/>
      <w:pPr>
        <w:ind w:left="720" w:hanging="360"/>
      </w:pPr>
      <w:rPr>
        <w:rFonts w:asciiTheme="majorHAnsi" w:eastAsiaTheme="majorEastAsia" w:hAnsiTheme="majorHAnsi" w:cstheme="majorBidi" w:hint="default"/>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8"/>
  </w:num>
  <w:num w:numId="3">
    <w:abstractNumId w:val="0"/>
  </w:num>
  <w:num w:numId="4">
    <w:abstractNumId w:val="1"/>
  </w:num>
  <w:num w:numId="5">
    <w:abstractNumId w:val="16"/>
  </w:num>
  <w:num w:numId="6">
    <w:abstractNumId w:val="4"/>
  </w:num>
  <w:num w:numId="7">
    <w:abstractNumId w:val="9"/>
  </w:num>
  <w:num w:numId="8">
    <w:abstractNumId w:val="28"/>
  </w:num>
  <w:num w:numId="9">
    <w:abstractNumId w:val="7"/>
  </w:num>
  <w:num w:numId="10">
    <w:abstractNumId w:val="27"/>
  </w:num>
  <w:num w:numId="11">
    <w:abstractNumId w:val="29"/>
  </w:num>
  <w:num w:numId="12">
    <w:abstractNumId w:val="15"/>
  </w:num>
  <w:num w:numId="13">
    <w:abstractNumId w:val="23"/>
  </w:num>
  <w:num w:numId="14">
    <w:abstractNumId w:val="26"/>
  </w:num>
  <w:num w:numId="15">
    <w:abstractNumId w:val="14"/>
  </w:num>
  <w:num w:numId="16">
    <w:abstractNumId w:val="11"/>
  </w:num>
  <w:num w:numId="17">
    <w:abstractNumId w:val="19"/>
  </w:num>
  <w:num w:numId="18">
    <w:abstractNumId w:val="17"/>
  </w:num>
  <w:num w:numId="19">
    <w:abstractNumId w:val="25"/>
  </w:num>
  <w:num w:numId="20">
    <w:abstractNumId w:val="13"/>
  </w:num>
  <w:num w:numId="21">
    <w:abstractNumId w:val="10"/>
  </w:num>
  <w:num w:numId="22">
    <w:abstractNumId w:val="12"/>
  </w:num>
  <w:num w:numId="23">
    <w:abstractNumId w:val="18"/>
  </w:num>
  <w:num w:numId="24">
    <w:abstractNumId w:val="2"/>
  </w:num>
  <w:num w:numId="25">
    <w:abstractNumId w:val="21"/>
  </w:num>
  <w:num w:numId="26">
    <w:abstractNumId w:val="32"/>
  </w:num>
  <w:num w:numId="27">
    <w:abstractNumId w:val="5"/>
  </w:num>
  <w:num w:numId="28">
    <w:abstractNumId w:val="3"/>
  </w:num>
  <w:num w:numId="29">
    <w:abstractNumId w:val="24"/>
  </w:num>
  <w:num w:numId="30">
    <w:abstractNumId w:val="30"/>
  </w:num>
  <w:num w:numId="31">
    <w:abstractNumId w:val="6"/>
  </w:num>
  <w:num w:numId="32">
    <w:abstractNumId w:val="2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D2"/>
    <w:rsid w:val="000049B7"/>
    <w:rsid w:val="0002352E"/>
    <w:rsid w:val="00027265"/>
    <w:rsid w:val="0003222A"/>
    <w:rsid w:val="0003273B"/>
    <w:rsid w:val="0003320B"/>
    <w:rsid w:val="0004045B"/>
    <w:rsid w:val="00043402"/>
    <w:rsid w:val="00043E61"/>
    <w:rsid w:val="00052151"/>
    <w:rsid w:val="00057F97"/>
    <w:rsid w:val="00070722"/>
    <w:rsid w:val="000722B9"/>
    <w:rsid w:val="00080F49"/>
    <w:rsid w:val="000848B5"/>
    <w:rsid w:val="000862CA"/>
    <w:rsid w:val="00097F63"/>
    <w:rsid w:val="000B192A"/>
    <w:rsid w:val="000B21B7"/>
    <w:rsid w:val="000D2E60"/>
    <w:rsid w:val="000D5B7E"/>
    <w:rsid w:val="000E3889"/>
    <w:rsid w:val="001059B1"/>
    <w:rsid w:val="001119B0"/>
    <w:rsid w:val="0012180B"/>
    <w:rsid w:val="00121E82"/>
    <w:rsid w:val="00152AFC"/>
    <w:rsid w:val="00160C28"/>
    <w:rsid w:val="0016258B"/>
    <w:rsid w:val="00165C0F"/>
    <w:rsid w:val="00171003"/>
    <w:rsid w:val="001765FA"/>
    <w:rsid w:val="00177D9A"/>
    <w:rsid w:val="00182943"/>
    <w:rsid w:val="00187C90"/>
    <w:rsid w:val="001A1722"/>
    <w:rsid w:val="001B2999"/>
    <w:rsid w:val="001B3319"/>
    <w:rsid w:val="001B4118"/>
    <w:rsid w:val="001C5C0A"/>
    <w:rsid w:val="001D5E73"/>
    <w:rsid w:val="001F3A75"/>
    <w:rsid w:val="001F56FC"/>
    <w:rsid w:val="00202231"/>
    <w:rsid w:val="00211F54"/>
    <w:rsid w:val="00222A5E"/>
    <w:rsid w:val="002265F2"/>
    <w:rsid w:val="00231C8F"/>
    <w:rsid w:val="002333ED"/>
    <w:rsid w:val="00244E28"/>
    <w:rsid w:val="002460D7"/>
    <w:rsid w:val="00252ABB"/>
    <w:rsid w:val="0026004E"/>
    <w:rsid w:val="00265288"/>
    <w:rsid w:val="00270F08"/>
    <w:rsid w:val="00280C1D"/>
    <w:rsid w:val="002926D5"/>
    <w:rsid w:val="00296363"/>
    <w:rsid w:val="002A7825"/>
    <w:rsid w:val="002C3257"/>
    <w:rsid w:val="002C3508"/>
    <w:rsid w:val="002D2D32"/>
    <w:rsid w:val="002E4199"/>
    <w:rsid w:val="002F45B6"/>
    <w:rsid w:val="00304861"/>
    <w:rsid w:val="003214C0"/>
    <w:rsid w:val="00322677"/>
    <w:rsid w:val="00324304"/>
    <w:rsid w:val="003273AC"/>
    <w:rsid w:val="003324CF"/>
    <w:rsid w:val="003411E3"/>
    <w:rsid w:val="00342B22"/>
    <w:rsid w:val="003445E7"/>
    <w:rsid w:val="00346311"/>
    <w:rsid w:val="003626B3"/>
    <w:rsid w:val="00362A0A"/>
    <w:rsid w:val="00362C91"/>
    <w:rsid w:val="00374D89"/>
    <w:rsid w:val="003862BB"/>
    <w:rsid w:val="00393E3F"/>
    <w:rsid w:val="0039511E"/>
    <w:rsid w:val="00395DF3"/>
    <w:rsid w:val="003B1115"/>
    <w:rsid w:val="003B368A"/>
    <w:rsid w:val="003C1389"/>
    <w:rsid w:val="003C6A5E"/>
    <w:rsid w:val="003D254D"/>
    <w:rsid w:val="003D2FA5"/>
    <w:rsid w:val="003D7ADF"/>
    <w:rsid w:val="003F0B22"/>
    <w:rsid w:val="003F164F"/>
    <w:rsid w:val="003F3273"/>
    <w:rsid w:val="00410029"/>
    <w:rsid w:val="0041738C"/>
    <w:rsid w:val="00431A90"/>
    <w:rsid w:val="00431E1B"/>
    <w:rsid w:val="004353FA"/>
    <w:rsid w:val="00453D42"/>
    <w:rsid w:val="00474B87"/>
    <w:rsid w:val="00483D80"/>
    <w:rsid w:val="004A09D9"/>
    <w:rsid w:val="004A17B7"/>
    <w:rsid w:val="004A1908"/>
    <w:rsid w:val="004B0594"/>
    <w:rsid w:val="004C203F"/>
    <w:rsid w:val="004C4A41"/>
    <w:rsid w:val="004C5792"/>
    <w:rsid w:val="004D56F7"/>
    <w:rsid w:val="004E5160"/>
    <w:rsid w:val="004F4761"/>
    <w:rsid w:val="005213AD"/>
    <w:rsid w:val="00523ADF"/>
    <w:rsid w:val="00553EF0"/>
    <w:rsid w:val="00565487"/>
    <w:rsid w:val="00565832"/>
    <w:rsid w:val="005753B9"/>
    <w:rsid w:val="0058180B"/>
    <w:rsid w:val="0058279B"/>
    <w:rsid w:val="00586CEB"/>
    <w:rsid w:val="0059356A"/>
    <w:rsid w:val="005A05C2"/>
    <w:rsid w:val="005A16DF"/>
    <w:rsid w:val="005A5F57"/>
    <w:rsid w:val="005A5FCB"/>
    <w:rsid w:val="005A6B00"/>
    <w:rsid w:val="005B1BBC"/>
    <w:rsid w:val="005B29EA"/>
    <w:rsid w:val="005C531A"/>
    <w:rsid w:val="005C6005"/>
    <w:rsid w:val="005D17F1"/>
    <w:rsid w:val="005E6D48"/>
    <w:rsid w:val="005F0232"/>
    <w:rsid w:val="005F5CD3"/>
    <w:rsid w:val="0060140B"/>
    <w:rsid w:val="0060732D"/>
    <w:rsid w:val="006161C4"/>
    <w:rsid w:val="006168C3"/>
    <w:rsid w:val="00627177"/>
    <w:rsid w:val="00627496"/>
    <w:rsid w:val="00641146"/>
    <w:rsid w:val="00662CFB"/>
    <w:rsid w:val="00665BAB"/>
    <w:rsid w:val="00672DDD"/>
    <w:rsid w:val="006755E8"/>
    <w:rsid w:val="006838F7"/>
    <w:rsid w:val="006931BD"/>
    <w:rsid w:val="00694AB9"/>
    <w:rsid w:val="0069528E"/>
    <w:rsid w:val="006961C4"/>
    <w:rsid w:val="006A5D54"/>
    <w:rsid w:val="006B2827"/>
    <w:rsid w:val="006B3738"/>
    <w:rsid w:val="006D0BC0"/>
    <w:rsid w:val="006D2706"/>
    <w:rsid w:val="006E1296"/>
    <w:rsid w:val="006E4DBD"/>
    <w:rsid w:val="006E6C0D"/>
    <w:rsid w:val="006F19DD"/>
    <w:rsid w:val="007036DF"/>
    <w:rsid w:val="00720DFB"/>
    <w:rsid w:val="00721D0F"/>
    <w:rsid w:val="00721FE1"/>
    <w:rsid w:val="00726B88"/>
    <w:rsid w:val="00734F23"/>
    <w:rsid w:val="00740CBD"/>
    <w:rsid w:val="0075230A"/>
    <w:rsid w:val="00765A07"/>
    <w:rsid w:val="007734E4"/>
    <w:rsid w:val="00782484"/>
    <w:rsid w:val="00782576"/>
    <w:rsid w:val="007828A6"/>
    <w:rsid w:val="007855CD"/>
    <w:rsid w:val="0079578A"/>
    <w:rsid w:val="007A02BE"/>
    <w:rsid w:val="007A22B4"/>
    <w:rsid w:val="007B5DD8"/>
    <w:rsid w:val="007D2942"/>
    <w:rsid w:val="007D6B82"/>
    <w:rsid w:val="007E0BEB"/>
    <w:rsid w:val="00805600"/>
    <w:rsid w:val="00812B9A"/>
    <w:rsid w:val="00817384"/>
    <w:rsid w:val="0083254B"/>
    <w:rsid w:val="00832FE8"/>
    <w:rsid w:val="00833C4B"/>
    <w:rsid w:val="0083540D"/>
    <w:rsid w:val="008400A5"/>
    <w:rsid w:val="008424CA"/>
    <w:rsid w:val="0084350C"/>
    <w:rsid w:val="0084476E"/>
    <w:rsid w:val="00845260"/>
    <w:rsid w:val="00852E07"/>
    <w:rsid w:val="00860AE8"/>
    <w:rsid w:val="00862F7C"/>
    <w:rsid w:val="00867EA2"/>
    <w:rsid w:val="00872A34"/>
    <w:rsid w:val="00873A47"/>
    <w:rsid w:val="00875AAF"/>
    <w:rsid w:val="0087605E"/>
    <w:rsid w:val="008778C0"/>
    <w:rsid w:val="008819A3"/>
    <w:rsid w:val="00891B7C"/>
    <w:rsid w:val="00893593"/>
    <w:rsid w:val="00894374"/>
    <w:rsid w:val="00895084"/>
    <w:rsid w:val="008A43B8"/>
    <w:rsid w:val="008A53AB"/>
    <w:rsid w:val="008A5D89"/>
    <w:rsid w:val="008B3796"/>
    <w:rsid w:val="008B5B77"/>
    <w:rsid w:val="008C1894"/>
    <w:rsid w:val="008D0A5C"/>
    <w:rsid w:val="008D63EE"/>
    <w:rsid w:val="008D65E2"/>
    <w:rsid w:val="008E57B3"/>
    <w:rsid w:val="008E5903"/>
    <w:rsid w:val="00905447"/>
    <w:rsid w:val="009118FC"/>
    <w:rsid w:val="009205FE"/>
    <w:rsid w:val="00920CFD"/>
    <w:rsid w:val="009260BB"/>
    <w:rsid w:val="00933551"/>
    <w:rsid w:val="00934210"/>
    <w:rsid w:val="0095051F"/>
    <w:rsid w:val="0095118E"/>
    <w:rsid w:val="00957181"/>
    <w:rsid w:val="00965693"/>
    <w:rsid w:val="009764F4"/>
    <w:rsid w:val="00980DC8"/>
    <w:rsid w:val="00985A67"/>
    <w:rsid w:val="00994F7D"/>
    <w:rsid w:val="009960C1"/>
    <w:rsid w:val="009A12BC"/>
    <w:rsid w:val="009B7B72"/>
    <w:rsid w:val="009C7056"/>
    <w:rsid w:val="009D5847"/>
    <w:rsid w:val="009E2C50"/>
    <w:rsid w:val="009E3A47"/>
    <w:rsid w:val="009E7C2B"/>
    <w:rsid w:val="009F0388"/>
    <w:rsid w:val="009F573D"/>
    <w:rsid w:val="00A018B5"/>
    <w:rsid w:val="00A11BDF"/>
    <w:rsid w:val="00A155CD"/>
    <w:rsid w:val="00A24C26"/>
    <w:rsid w:val="00A30E8F"/>
    <w:rsid w:val="00A351E5"/>
    <w:rsid w:val="00A41B8C"/>
    <w:rsid w:val="00A46B64"/>
    <w:rsid w:val="00A545B7"/>
    <w:rsid w:val="00A634CE"/>
    <w:rsid w:val="00A84AB2"/>
    <w:rsid w:val="00A955D1"/>
    <w:rsid w:val="00AA37BB"/>
    <w:rsid w:val="00AA6039"/>
    <w:rsid w:val="00AD54BC"/>
    <w:rsid w:val="00AD6D7E"/>
    <w:rsid w:val="00AE750C"/>
    <w:rsid w:val="00AF0D81"/>
    <w:rsid w:val="00AF1F1A"/>
    <w:rsid w:val="00B00273"/>
    <w:rsid w:val="00B05468"/>
    <w:rsid w:val="00B23DEB"/>
    <w:rsid w:val="00B3745D"/>
    <w:rsid w:val="00B51FBA"/>
    <w:rsid w:val="00B61AE9"/>
    <w:rsid w:val="00B7406D"/>
    <w:rsid w:val="00B76F11"/>
    <w:rsid w:val="00B917D2"/>
    <w:rsid w:val="00B920F3"/>
    <w:rsid w:val="00B933D4"/>
    <w:rsid w:val="00B97C0A"/>
    <w:rsid w:val="00BD0DDD"/>
    <w:rsid w:val="00C051ED"/>
    <w:rsid w:val="00C12BB0"/>
    <w:rsid w:val="00C1310D"/>
    <w:rsid w:val="00C21771"/>
    <w:rsid w:val="00C34440"/>
    <w:rsid w:val="00C43D64"/>
    <w:rsid w:val="00C4563F"/>
    <w:rsid w:val="00C533A7"/>
    <w:rsid w:val="00C654FC"/>
    <w:rsid w:val="00C65B2A"/>
    <w:rsid w:val="00C67A2B"/>
    <w:rsid w:val="00C735AA"/>
    <w:rsid w:val="00C75641"/>
    <w:rsid w:val="00C951C6"/>
    <w:rsid w:val="00CA3590"/>
    <w:rsid w:val="00CA42F9"/>
    <w:rsid w:val="00CB1BFF"/>
    <w:rsid w:val="00CB3DCF"/>
    <w:rsid w:val="00CB3F66"/>
    <w:rsid w:val="00CB5F80"/>
    <w:rsid w:val="00CB715A"/>
    <w:rsid w:val="00CF3E2D"/>
    <w:rsid w:val="00D107A5"/>
    <w:rsid w:val="00D11A66"/>
    <w:rsid w:val="00D26BCD"/>
    <w:rsid w:val="00D3124D"/>
    <w:rsid w:val="00D34FC2"/>
    <w:rsid w:val="00D36660"/>
    <w:rsid w:val="00D36C58"/>
    <w:rsid w:val="00D53304"/>
    <w:rsid w:val="00D5779D"/>
    <w:rsid w:val="00D63C4D"/>
    <w:rsid w:val="00D642FB"/>
    <w:rsid w:val="00D64822"/>
    <w:rsid w:val="00D65854"/>
    <w:rsid w:val="00D65BFB"/>
    <w:rsid w:val="00D737DC"/>
    <w:rsid w:val="00D81811"/>
    <w:rsid w:val="00D917BE"/>
    <w:rsid w:val="00D95080"/>
    <w:rsid w:val="00D952BA"/>
    <w:rsid w:val="00D9539A"/>
    <w:rsid w:val="00DA5059"/>
    <w:rsid w:val="00DB25EC"/>
    <w:rsid w:val="00DB76F0"/>
    <w:rsid w:val="00DD280B"/>
    <w:rsid w:val="00DF0AC2"/>
    <w:rsid w:val="00DF1C7E"/>
    <w:rsid w:val="00E00DF5"/>
    <w:rsid w:val="00E06C82"/>
    <w:rsid w:val="00E14688"/>
    <w:rsid w:val="00E22045"/>
    <w:rsid w:val="00E3512C"/>
    <w:rsid w:val="00E46E95"/>
    <w:rsid w:val="00E47247"/>
    <w:rsid w:val="00E516E6"/>
    <w:rsid w:val="00E52AFE"/>
    <w:rsid w:val="00E57527"/>
    <w:rsid w:val="00E665ED"/>
    <w:rsid w:val="00E704EA"/>
    <w:rsid w:val="00E7083B"/>
    <w:rsid w:val="00E75289"/>
    <w:rsid w:val="00E96735"/>
    <w:rsid w:val="00EA0AA8"/>
    <w:rsid w:val="00EA1F8A"/>
    <w:rsid w:val="00EA2628"/>
    <w:rsid w:val="00EB4EEF"/>
    <w:rsid w:val="00EB6823"/>
    <w:rsid w:val="00EC16AB"/>
    <w:rsid w:val="00EE161E"/>
    <w:rsid w:val="00EE464D"/>
    <w:rsid w:val="00EF383D"/>
    <w:rsid w:val="00F14073"/>
    <w:rsid w:val="00F14F25"/>
    <w:rsid w:val="00F27C3A"/>
    <w:rsid w:val="00F30665"/>
    <w:rsid w:val="00F315B6"/>
    <w:rsid w:val="00F42266"/>
    <w:rsid w:val="00F44887"/>
    <w:rsid w:val="00F45ACD"/>
    <w:rsid w:val="00F57BE5"/>
    <w:rsid w:val="00F64944"/>
    <w:rsid w:val="00F653C4"/>
    <w:rsid w:val="00F656BE"/>
    <w:rsid w:val="00F73707"/>
    <w:rsid w:val="00F758A0"/>
    <w:rsid w:val="00F77E38"/>
    <w:rsid w:val="00F8007B"/>
    <w:rsid w:val="00F85AEA"/>
    <w:rsid w:val="00F868D8"/>
    <w:rsid w:val="00F914FB"/>
    <w:rsid w:val="00F97B73"/>
    <w:rsid w:val="00F97FDD"/>
    <w:rsid w:val="00FB173C"/>
    <w:rsid w:val="00FB25A1"/>
    <w:rsid w:val="00FB7CA1"/>
    <w:rsid w:val="00FC1EE0"/>
    <w:rsid w:val="00FC3E12"/>
    <w:rsid w:val="00FD7F59"/>
    <w:rsid w:val="00FE6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D3574"/>
  <w15:chartTrackingRefBased/>
  <w15:docId w15:val="{4752E2AD-D119-F54C-800F-BC7D62CE4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5FE"/>
    <w:pPr>
      <w:jc w:val="both"/>
    </w:pPr>
    <w:rPr>
      <w:rFonts w:cstheme="minorHAnsi"/>
    </w:rPr>
  </w:style>
  <w:style w:type="paragraph" w:styleId="Heading1">
    <w:name w:val="heading 1"/>
    <w:basedOn w:val="Normal"/>
    <w:next w:val="Normal"/>
    <w:link w:val="Heading1Char"/>
    <w:qFormat/>
    <w:rsid w:val="00EE46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46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131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DD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2DDD"/>
    <w:rPr>
      <w:rFonts w:ascii="Times New Roman" w:hAnsi="Times New Roman" w:cs="Times New Roman"/>
      <w:sz w:val="18"/>
      <w:szCs w:val="18"/>
    </w:rPr>
  </w:style>
  <w:style w:type="paragraph" w:styleId="FootnoteText">
    <w:name w:val="footnote text"/>
    <w:basedOn w:val="Normal"/>
    <w:link w:val="FootnoteTextChar"/>
    <w:rsid w:val="009E7C2B"/>
    <w:pPr>
      <w:pBdr>
        <w:top w:val="nil"/>
        <w:left w:val="nil"/>
        <w:bottom w:val="nil"/>
        <w:right w:val="nil"/>
        <w:between w:val="nil"/>
        <w:bar w:val="nil"/>
      </w:pBdr>
    </w:pPr>
    <w:rPr>
      <w:rFonts w:ascii="Helvetica" w:eastAsia="Helvetica" w:hAnsi="Helvetica" w:cs="Times New Roman"/>
      <w:color w:val="000000"/>
      <w:sz w:val="18"/>
      <w:szCs w:val="20"/>
      <w:lang w:val="x-none" w:eastAsia="en-GB"/>
    </w:rPr>
  </w:style>
  <w:style w:type="character" w:customStyle="1" w:styleId="FootnoteTextChar">
    <w:name w:val="Footnote Text Char"/>
    <w:basedOn w:val="DefaultParagraphFont"/>
    <w:link w:val="FootnoteText"/>
    <w:rsid w:val="009E7C2B"/>
    <w:rPr>
      <w:rFonts w:ascii="Helvetica" w:eastAsia="Helvetica" w:hAnsi="Helvetica" w:cs="Times New Roman"/>
      <w:color w:val="000000"/>
      <w:sz w:val="18"/>
      <w:szCs w:val="20"/>
      <w:lang w:val="x-none" w:eastAsia="en-GB"/>
    </w:rPr>
  </w:style>
  <w:style w:type="character" w:styleId="FootnoteReference">
    <w:name w:val="footnote reference"/>
    <w:uiPriority w:val="99"/>
    <w:rsid w:val="009E7C2B"/>
    <w:rPr>
      <w:rFonts w:ascii="Helvetica" w:eastAsia="Helvetica" w:hAnsi="Helvetica" w:cs="Helvetica"/>
      <w:color w:val="000000"/>
      <w:sz w:val="18"/>
      <w:vertAlign w:val="superscript"/>
      <w:lang w:eastAsia="en-GB"/>
    </w:rPr>
  </w:style>
  <w:style w:type="paragraph" w:styleId="ListParagraph">
    <w:name w:val="List Paragraph"/>
    <w:basedOn w:val="Normal"/>
    <w:link w:val="ListParagraphChar"/>
    <w:uiPriority w:val="1"/>
    <w:qFormat/>
    <w:rsid w:val="009205FE"/>
    <w:pPr>
      <w:pBdr>
        <w:top w:val="nil"/>
        <w:left w:val="nil"/>
        <w:bottom w:val="nil"/>
        <w:right w:val="nil"/>
        <w:between w:val="nil"/>
        <w:bar w:val="nil"/>
      </w:pBdr>
      <w:ind w:left="720"/>
      <w:contextualSpacing/>
    </w:pPr>
    <w:rPr>
      <w:rFonts w:eastAsia="Arial Unicode MS" w:cs="Arial Unicode MS"/>
      <w:color w:val="000000"/>
      <w:sz w:val="22"/>
      <w:szCs w:val="22"/>
      <w:bdr w:val="nil"/>
      <w:lang w:eastAsia="en-GB"/>
    </w:rPr>
  </w:style>
  <w:style w:type="paragraph" w:styleId="NormalWeb">
    <w:name w:val="Normal (Web)"/>
    <w:basedOn w:val="Normal"/>
    <w:uiPriority w:val="99"/>
    <w:unhideWhenUsed/>
    <w:rsid w:val="009E7C2B"/>
    <w:pPr>
      <w:pBdr>
        <w:top w:val="nil"/>
        <w:left w:val="nil"/>
        <w:bottom w:val="nil"/>
        <w:right w:val="nil"/>
        <w:between w:val="nil"/>
        <w:bar w:val="nil"/>
      </w:pBdr>
    </w:pPr>
    <w:rPr>
      <w:rFonts w:ascii="Gill Sans Light" w:eastAsia="Arial Unicode MS" w:hAnsi="Gill Sans Light" w:cs="Arial Unicode MS"/>
      <w:color w:val="000000"/>
      <w:sz w:val="20"/>
      <w:szCs w:val="22"/>
      <w:bdr w:val="nil"/>
      <w:lang w:eastAsia="en-GB"/>
    </w:rPr>
  </w:style>
  <w:style w:type="character" w:customStyle="1" w:styleId="ListParagraphChar">
    <w:name w:val="List Paragraph Char"/>
    <w:link w:val="ListParagraph"/>
    <w:uiPriority w:val="1"/>
    <w:locked/>
    <w:rsid w:val="009205FE"/>
    <w:rPr>
      <w:rFonts w:eastAsia="Arial Unicode MS" w:cs="Arial Unicode MS"/>
      <w:color w:val="000000"/>
      <w:sz w:val="22"/>
      <w:szCs w:val="22"/>
      <w:bdr w:val="nil"/>
      <w:lang w:eastAsia="en-GB"/>
    </w:rPr>
  </w:style>
  <w:style w:type="paragraph" w:styleId="Caption">
    <w:name w:val="caption"/>
    <w:basedOn w:val="Normal"/>
    <w:next w:val="Normal"/>
    <w:uiPriority w:val="35"/>
    <w:unhideWhenUsed/>
    <w:qFormat/>
    <w:rsid w:val="009E7C2B"/>
    <w:pPr>
      <w:keepNext/>
      <w:pBdr>
        <w:top w:val="nil"/>
        <w:left w:val="nil"/>
        <w:bottom w:val="nil"/>
        <w:right w:val="nil"/>
        <w:between w:val="nil"/>
        <w:bar w:val="nil"/>
      </w:pBdr>
      <w:spacing w:after="200"/>
    </w:pPr>
    <w:rPr>
      <w:rFonts w:ascii="Gill Sans" w:eastAsia="Arial Unicode MS" w:hAnsi="Gill Sans" w:cs="Gill Sans"/>
      <w:color w:val="000000" w:themeColor="text1"/>
      <w:sz w:val="18"/>
      <w:szCs w:val="18"/>
      <w:bdr w:val="nil"/>
      <w:lang w:eastAsia="en-GB"/>
    </w:rPr>
  </w:style>
  <w:style w:type="paragraph" w:customStyle="1" w:styleId="rtejustify">
    <w:name w:val="rtejustify"/>
    <w:basedOn w:val="Normal"/>
    <w:rsid w:val="00D737DC"/>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EE464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E46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E464D"/>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EE464D"/>
    <w:pPr>
      <w:ind w:left="240"/>
    </w:pPr>
    <w:rPr>
      <w:smallCaps/>
      <w:sz w:val="20"/>
      <w:szCs w:val="20"/>
    </w:rPr>
  </w:style>
  <w:style w:type="character" w:styleId="Hyperlink">
    <w:name w:val="Hyperlink"/>
    <w:basedOn w:val="DefaultParagraphFont"/>
    <w:uiPriority w:val="99"/>
    <w:unhideWhenUsed/>
    <w:rsid w:val="00EE464D"/>
    <w:rPr>
      <w:color w:val="0563C1" w:themeColor="hyperlink"/>
      <w:u w:val="single"/>
    </w:rPr>
  </w:style>
  <w:style w:type="paragraph" w:styleId="TOC1">
    <w:name w:val="toc 1"/>
    <w:basedOn w:val="Normal"/>
    <w:next w:val="Normal"/>
    <w:autoRedefine/>
    <w:uiPriority w:val="39"/>
    <w:unhideWhenUsed/>
    <w:rsid w:val="0012180B"/>
    <w:pPr>
      <w:tabs>
        <w:tab w:val="left" w:pos="480"/>
        <w:tab w:val="right" w:leader="dot" w:pos="9010"/>
      </w:tabs>
      <w:spacing w:before="120" w:after="120"/>
    </w:pPr>
    <w:rPr>
      <w:b/>
      <w:bCs/>
      <w:caps/>
      <w:sz w:val="20"/>
      <w:szCs w:val="20"/>
    </w:rPr>
  </w:style>
  <w:style w:type="paragraph" w:styleId="TOC3">
    <w:name w:val="toc 3"/>
    <w:basedOn w:val="Normal"/>
    <w:next w:val="Normal"/>
    <w:autoRedefine/>
    <w:uiPriority w:val="39"/>
    <w:unhideWhenUsed/>
    <w:rsid w:val="00EE464D"/>
    <w:pPr>
      <w:ind w:left="480"/>
    </w:pPr>
    <w:rPr>
      <w:i/>
      <w:iCs/>
      <w:sz w:val="20"/>
      <w:szCs w:val="20"/>
    </w:rPr>
  </w:style>
  <w:style w:type="paragraph" w:styleId="TOC4">
    <w:name w:val="toc 4"/>
    <w:basedOn w:val="Normal"/>
    <w:next w:val="Normal"/>
    <w:autoRedefine/>
    <w:uiPriority w:val="39"/>
    <w:semiHidden/>
    <w:unhideWhenUsed/>
    <w:rsid w:val="00EE464D"/>
    <w:pPr>
      <w:ind w:left="720"/>
    </w:pPr>
    <w:rPr>
      <w:sz w:val="18"/>
      <w:szCs w:val="18"/>
    </w:rPr>
  </w:style>
  <w:style w:type="paragraph" w:styleId="TOC5">
    <w:name w:val="toc 5"/>
    <w:basedOn w:val="Normal"/>
    <w:next w:val="Normal"/>
    <w:autoRedefine/>
    <w:uiPriority w:val="39"/>
    <w:semiHidden/>
    <w:unhideWhenUsed/>
    <w:rsid w:val="00EE464D"/>
    <w:pPr>
      <w:ind w:left="960"/>
    </w:pPr>
    <w:rPr>
      <w:sz w:val="18"/>
      <w:szCs w:val="18"/>
    </w:rPr>
  </w:style>
  <w:style w:type="paragraph" w:styleId="TOC6">
    <w:name w:val="toc 6"/>
    <w:basedOn w:val="Normal"/>
    <w:next w:val="Normal"/>
    <w:autoRedefine/>
    <w:uiPriority w:val="39"/>
    <w:semiHidden/>
    <w:unhideWhenUsed/>
    <w:rsid w:val="00EE464D"/>
    <w:pPr>
      <w:ind w:left="1200"/>
    </w:pPr>
    <w:rPr>
      <w:sz w:val="18"/>
      <w:szCs w:val="18"/>
    </w:rPr>
  </w:style>
  <w:style w:type="paragraph" w:styleId="TOC7">
    <w:name w:val="toc 7"/>
    <w:basedOn w:val="Normal"/>
    <w:next w:val="Normal"/>
    <w:autoRedefine/>
    <w:uiPriority w:val="39"/>
    <w:semiHidden/>
    <w:unhideWhenUsed/>
    <w:rsid w:val="00EE464D"/>
    <w:pPr>
      <w:ind w:left="1440"/>
    </w:pPr>
    <w:rPr>
      <w:sz w:val="18"/>
      <w:szCs w:val="18"/>
    </w:rPr>
  </w:style>
  <w:style w:type="paragraph" w:styleId="TOC8">
    <w:name w:val="toc 8"/>
    <w:basedOn w:val="Normal"/>
    <w:next w:val="Normal"/>
    <w:autoRedefine/>
    <w:uiPriority w:val="39"/>
    <w:semiHidden/>
    <w:unhideWhenUsed/>
    <w:rsid w:val="00EE464D"/>
    <w:pPr>
      <w:ind w:left="1680"/>
    </w:pPr>
    <w:rPr>
      <w:sz w:val="18"/>
      <w:szCs w:val="18"/>
    </w:rPr>
  </w:style>
  <w:style w:type="paragraph" w:styleId="TOC9">
    <w:name w:val="toc 9"/>
    <w:basedOn w:val="Normal"/>
    <w:next w:val="Normal"/>
    <w:autoRedefine/>
    <w:uiPriority w:val="39"/>
    <w:semiHidden/>
    <w:unhideWhenUsed/>
    <w:rsid w:val="00EE464D"/>
    <w:pPr>
      <w:ind w:left="1920"/>
    </w:pPr>
    <w:rPr>
      <w:sz w:val="18"/>
      <w:szCs w:val="18"/>
    </w:rPr>
  </w:style>
  <w:style w:type="paragraph" w:customStyle="1" w:styleId="Normal1">
    <w:name w:val="Normal 1"/>
    <w:basedOn w:val="Normal"/>
    <w:qFormat/>
    <w:rsid w:val="00872A34"/>
    <w:rPr>
      <w:rFonts w:ascii="Gill Sans" w:eastAsia="Arial Unicode MS" w:hAnsi="Gill Sans" w:cs="Gill Sans Light"/>
      <w:i/>
      <w:iCs/>
      <w:sz w:val="22"/>
      <w:szCs w:val="20"/>
      <w:lang w:eastAsia="zh-CN"/>
    </w:rPr>
  </w:style>
  <w:style w:type="table" w:styleId="TableGrid">
    <w:name w:val="Table Grid"/>
    <w:basedOn w:val="TableNormal"/>
    <w:uiPriority w:val="39"/>
    <w:rsid w:val="00872A34"/>
    <w:rPr>
      <w:rFonts w:ascii="Times New Roman" w:eastAsia="Arial Unicode MS"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 2"/>
    <w:basedOn w:val="Normal"/>
    <w:qFormat/>
    <w:rsid w:val="00872A34"/>
    <w:rPr>
      <w:rFonts w:ascii="Gill Sans" w:eastAsia="Arial Unicode MS" w:hAnsi="Gill Sans" w:cs="Gill Sans Light"/>
      <w:sz w:val="22"/>
      <w:szCs w:val="20"/>
      <w:lang w:eastAsia="zh-CN"/>
    </w:rPr>
  </w:style>
  <w:style w:type="character" w:customStyle="1" w:styleId="Heading3Char">
    <w:name w:val="Heading 3 Char"/>
    <w:basedOn w:val="DefaultParagraphFont"/>
    <w:link w:val="Heading3"/>
    <w:uiPriority w:val="9"/>
    <w:rsid w:val="00C1310D"/>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E06C82"/>
    <w:rPr>
      <w:sz w:val="16"/>
      <w:szCs w:val="16"/>
    </w:rPr>
  </w:style>
  <w:style w:type="paragraph" w:styleId="CommentText">
    <w:name w:val="annotation text"/>
    <w:basedOn w:val="Normal"/>
    <w:link w:val="CommentTextChar"/>
    <w:uiPriority w:val="99"/>
    <w:unhideWhenUsed/>
    <w:rsid w:val="00E06C82"/>
    <w:rPr>
      <w:sz w:val="20"/>
      <w:szCs w:val="20"/>
    </w:rPr>
  </w:style>
  <w:style w:type="character" w:customStyle="1" w:styleId="CommentTextChar">
    <w:name w:val="Comment Text Char"/>
    <w:basedOn w:val="DefaultParagraphFont"/>
    <w:link w:val="CommentText"/>
    <w:uiPriority w:val="99"/>
    <w:rsid w:val="00E06C82"/>
    <w:rPr>
      <w:rFonts w:cstheme="minorHAnsi"/>
      <w:sz w:val="20"/>
      <w:szCs w:val="20"/>
    </w:rPr>
  </w:style>
  <w:style w:type="paragraph" w:styleId="CommentSubject">
    <w:name w:val="annotation subject"/>
    <w:basedOn w:val="CommentText"/>
    <w:next w:val="CommentText"/>
    <w:link w:val="CommentSubjectChar"/>
    <w:uiPriority w:val="99"/>
    <w:semiHidden/>
    <w:unhideWhenUsed/>
    <w:rsid w:val="00E06C82"/>
    <w:rPr>
      <w:b/>
      <w:bCs/>
    </w:rPr>
  </w:style>
  <w:style w:type="character" w:customStyle="1" w:styleId="CommentSubjectChar">
    <w:name w:val="Comment Subject Char"/>
    <w:basedOn w:val="CommentTextChar"/>
    <w:link w:val="CommentSubject"/>
    <w:uiPriority w:val="99"/>
    <w:semiHidden/>
    <w:rsid w:val="00E06C82"/>
    <w:rPr>
      <w:rFonts w:cstheme="minorHAnsi"/>
      <w:b/>
      <w:bCs/>
      <w:sz w:val="20"/>
      <w:szCs w:val="20"/>
    </w:rPr>
  </w:style>
  <w:style w:type="paragraph" w:styleId="BodyText">
    <w:name w:val="Body Text"/>
    <w:basedOn w:val="Normal"/>
    <w:link w:val="BodyTextChar"/>
    <w:uiPriority w:val="1"/>
    <w:qFormat/>
    <w:rsid w:val="008E5903"/>
    <w:pPr>
      <w:widowControl w:val="0"/>
      <w:autoSpaceDE w:val="0"/>
      <w:autoSpaceDN w:val="0"/>
      <w:jc w:val="left"/>
    </w:pPr>
    <w:rPr>
      <w:rFonts w:ascii="Ciutadella Regular" w:eastAsia="Ciutadella Regular" w:hAnsi="Ciutadella Regular" w:cs="Ciutadella Regular"/>
      <w:lang w:val="en-US"/>
    </w:rPr>
  </w:style>
  <w:style w:type="character" w:customStyle="1" w:styleId="BodyTextChar">
    <w:name w:val="Body Text Char"/>
    <w:basedOn w:val="DefaultParagraphFont"/>
    <w:link w:val="BodyText"/>
    <w:uiPriority w:val="1"/>
    <w:rsid w:val="008E5903"/>
    <w:rPr>
      <w:rFonts w:ascii="Ciutadella Regular" w:eastAsia="Ciutadella Regular" w:hAnsi="Ciutadella Regular" w:cs="Ciutadella Regular"/>
      <w:lang w:val="en-US"/>
    </w:rPr>
  </w:style>
  <w:style w:type="paragraph" w:styleId="Revision">
    <w:name w:val="Revision"/>
    <w:hidden/>
    <w:uiPriority w:val="99"/>
    <w:semiHidden/>
    <w:rsid w:val="007855CD"/>
    <w:rPr>
      <w:rFonts w:cstheme="minorHAnsi"/>
    </w:rPr>
  </w:style>
  <w:style w:type="paragraph" w:styleId="Title">
    <w:name w:val="Title"/>
    <w:basedOn w:val="Normal"/>
    <w:next w:val="Normal"/>
    <w:link w:val="TitleChar"/>
    <w:rsid w:val="00C21771"/>
    <w:pPr>
      <w:pBdr>
        <w:top w:val="nil"/>
        <w:left w:val="nil"/>
        <w:bottom w:val="nil"/>
        <w:right w:val="nil"/>
        <w:between w:val="nil"/>
        <w:bar w:val="nil"/>
      </w:pBdr>
      <w:jc w:val="left"/>
    </w:pPr>
    <w:rPr>
      <w:rFonts w:ascii="Gill Sans" w:eastAsia="Arial Unicode MS" w:hAnsi="Gill Sans" w:cs="Gill Sans"/>
      <w:color w:val="1F497D"/>
      <w:spacing w:val="20"/>
      <w:sz w:val="40"/>
      <w:szCs w:val="22"/>
      <w:bdr w:val="nil"/>
      <w:lang w:eastAsia="en-GB"/>
    </w:rPr>
  </w:style>
  <w:style w:type="character" w:customStyle="1" w:styleId="TitleChar">
    <w:name w:val="Title Char"/>
    <w:basedOn w:val="DefaultParagraphFont"/>
    <w:link w:val="Title"/>
    <w:rsid w:val="00C21771"/>
    <w:rPr>
      <w:rFonts w:ascii="Gill Sans" w:eastAsia="Arial Unicode MS" w:hAnsi="Gill Sans" w:cs="Gill Sans"/>
      <w:color w:val="1F497D"/>
      <w:spacing w:val="20"/>
      <w:sz w:val="40"/>
      <w:szCs w:val="22"/>
      <w:bdr w:val="nil"/>
      <w:lang w:eastAsia="en-GB"/>
    </w:rPr>
  </w:style>
  <w:style w:type="paragraph" w:styleId="Subtitle">
    <w:name w:val="Subtitle"/>
    <w:basedOn w:val="Normal"/>
    <w:next w:val="Normal"/>
    <w:link w:val="SubtitleChar"/>
    <w:rsid w:val="00C21771"/>
    <w:pPr>
      <w:pBdr>
        <w:top w:val="nil"/>
        <w:left w:val="nil"/>
        <w:bottom w:val="nil"/>
        <w:right w:val="nil"/>
        <w:between w:val="nil"/>
        <w:bar w:val="nil"/>
      </w:pBdr>
      <w:jc w:val="left"/>
    </w:pPr>
    <w:rPr>
      <w:rFonts w:ascii="Gill Sans" w:eastAsia="Arial Unicode MS" w:hAnsi="Gill Sans" w:cs="Gill Sans"/>
      <w:color w:val="1F497D"/>
      <w:spacing w:val="20"/>
      <w:sz w:val="32"/>
      <w:szCs w:val="22"/>
      <w:bdr w:val="nil"/>
      <w:lang w:eastAsia="en-GB"/>
    </w:rPr>
  </w:style>
  <w:style w:type="character" w:customStyle="1" w:styleId="SubtitleChar">
    <w:name w:val="Subtitle Char"/>
    <w:basedOn w:val="DefaultParagraphFont"/>
    <w:link w:val="Subtitle"/>
    <w:rsid w:val="00C21771"/>
    <w:rPr>
      <w:rFonts w:ascii="Gill Sans" w:eastAsia="Arial Unicode MS" w:hAnsi="Gill Sans" w:cs="Gill Sans"/>
      <w:color w:val="1F497D"/>
      <w:spacing w:val="20"/>
      <w:sz w:val="32"/>
      <w:szCs w:val="22"/>
      <w:bdr w:val="nil"/>
      <w:lang w:eastAsia="en-GB"/>
    </w:rPr>
  </w:style>
  <w:style w:type="character" w:styleId="SubtleEmphasis">
    <w:name w:val="Subtle Emphasis"/>
    <w:aliases w:val="Subtitle Light"/>
    <w:rsid w:val="00C21771"/>
    <w:rPr>
      <w:rFonts w:ascii="Gill Sans Light" w:hAnsi="Gill Sans Light" w:cs="Gill Sans Light"/>
      <w:color w:val="1F497D"/>
      <w:spacing w:val="20"/>
      <w:sz w:val="32"/>
    </w:rPr>
  </w:style>
  <w:style w:type="character" w:customStyle="1" w:styleId="UnresolvedMention1">
    <w:name w:val="Unresolved Mention1"/>
    <w:basedOn w:val="DefaultParagraphFont"/>
    <w:uiPriority w:val="99"/>
    <w:semiHidden/>
    <w:unhideWhenUsed/>
    <w:rsid w:val="008A5D89"/>
    <w:rPr>
      <w:color w:val="605E5C"/>
      <w:shd w:val="clear" w:color="auto" w:fill="E1DFDD"/>
    </w:rPr>
  </w:style>
  <w:style w:type="paragraph" w:styleId="NoSpacing">
    <w:name w:val="No Spacing"/>
    <w:uiPriority w:val="1"/>
    <w:qFormat/>
    <w:rsid w:val="00E516E6"/>
  </w:style>
  <w:style w:type="paragraph" w:styleId="Footer">
    <w:name w:val="footer"/>
    <w:basedOn w:val="Normal"/>
    <w:link w:val="FooterChar"/>
    <w:uiPriority w:val="99"/>
    <w:unhideWhenUsed/>
    <w:rsid w:val="00E516E6"/>
    <w:pPr>
      <w:tabs>
        <w:tab w:val="center" w:pos="4513"/>
        <w:tab w:val="right" w:pos="9026"/>
      </w:tabs>
    </w:pPr>
  </w:style>
  <w:style w:type="character" w:customStyle="1" w:styleId="FooterChar">
    <w:name w:val="Footer Char"/>
    <w:basedOn w:val="DefaultParagraphFont"/>
    <w:link w:val="Footer"/>
    <w:uiPriority w:val="99"/>
    <w:rsid w:val="00E516E6"/>
    <w:rPr>
      <w:rFonts w:cstheme="minorHAnsi"/>
    </w:rPr>
  </w:style>
  <w:style w:type="character" w:styleId="PageNumber">
    <w:name w:val="page number"/>
    <w:basedOn w:val="DefaultParagraphFont"/>
    <w:uiPriority w:val="99"/>
    <w:semiHidden/>
    <w:unhideWhenUsed/>
    <w:rsid w:val="00E516E6"/>
  </w:style>
  <w:style w:type="paragraph" w:styleId="Header">
    <w:name w:val="header"/>
    <w:basedOn w:val="Normal"/>
    <w:link w:val="HeaderChar"/>
    <w:uiPriority w:val="99"/>
    <w:unhideWhenUsed/>
    <w:rsid w:val="00E516E6"/>
    <w:pPr>
      <w:tabs>
        <w:tab w:val="center" w:pos="4513"/>
        <w:tab w:val="right" w:pos="9026"/>
      </w:tabs>
    </w:pPr>
  </w:style>
  <w:style w:type="character" w:customStyle="1" w:styleId="HeaderChar">
    <w:name w:val="Header Char"/>
    <w:basedOn w:val="DefaultParagraphFont"/>
    <w:link w:val="Header"/>
    <w:uiPriority w:val="99"/>
    <w:rsid w:val="00E516E6"/>
    <w:rPr>
      <w:rFonts w:cstheme="minorHAnsi"/>
    </w:rPr>
  </w:style>
  <w:style w:type="character" w:customStyle="1" w:styleId="NoneA">
    <w:name w:val="None A"/>
    <w:rsid w:val="00182943"/>
    <w:rPr>
      <w:lang w:val="en-US"/>
    </w:rPr>
  </w:style>
  <w:style w:type="paragraph" w:customStyle="1" w:styleId="Body">
    <w:name w:val="Body"/>
    <w:rsid w:val="00182943"/>
    <w:pPr>
      <w:pBdr>
        <w:top w:val="nil"/>
        <w:left w:val="nil"/>
        <w:bottom w:val="nil"/>
        <w:right w:val="nil"/>
        <w:between w:val="nil"/>
        <w:bar w:val="nil"/>
      </w:pBdr>
    </w:pPr>
    <w:rPr>
      <w:rFonts w:ascii="Gill Sans Light" w:eastAsia="Arial Unicode MS" w:hAnsi="Gill Sans Light" w:cs="Arial Unicode MS"/>
      <w:color w:val="000000"/>
      <w:sz w:val="22"/>
      <w:szCs w:val="22"/>
      <w:bdr w:val="nil"/>
      <w:lang w:val="en-US" w:eastAsia="en-GB"/>
    </w:rPr>
  </w:style>
  <w:style w:type="paragraph" w:customStyle="1" w:styleId="Non-numberedHeading1">
    <w:name w:val="Non-numbered Heading 1"/>
    <w:basedOn w:val="Heading1"/>
    <w:rsid w:val="00182943"/>
    <w:pPr>
      <w:pBdr>
        <w:top w:val="nil"/>
        <w:left w:val="nil"/>
        <w:bottom w:val="nil"/>
        <w:right w:val="nil"/>
        <w:between w:val="nil"/>
        <w:bar w:val="nil"/>
      </w:pBdr>
      <w:spacing w:before="480"/>
      <w:jc w:val="left"/>
    </w:pPr>
    <w:rPr>
      <w:rFonts w:ascii="Gill Sans" w:eastAsia="Helvetica" w:hAnsi="Gill Sans" w:cs="Gill Sans"/>
      <w:color w:val="2C6F95"/>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43638">
      <w:bodyDiv w:val="1"/>
      <w:marLeft w:val="0"/>
      <w:marRight w:val="0"/>
      <w:marTop w:val="0"/>
      <w:marBottom w:val="0"/>
      <w:divBdr>
        <w:top w:val="none" w:sz="0" w:space="0" w:color="auto"/>
        <w:left w:val="none" w:sz="0" w:space="0" w:color="auto"/>
        <w:bottom w:val="none" w:sz="0" w:space="0" w:color="auto"/>
        <w:right w:val="none" w:sz="0" w:space="0" w:color="auto"/>
      </w:divBdr>
    </w:div>
    <w:div w:id="264312607">
      <w:bodyDiv w:val="1"/>
      <w:marLeft w:val="0"/>
      <w:marRight w:val="0"/>
      <w:marTop w:val="0"/>
      <w:marBottom w:val="0"/>
      <w:divBdr>
        <w:top w:val="none" w:sz="0" w:space="0" w:color="auto"/>
        <w:left w:val="none" w:sz="0" w:space="0" w:color="auto"/>
        <w:bottom w:val="none" w:sz="0" w:space="0" w:color="auto"/>
        <w:right w:val="none" w:sz="0" w:space="0" w:color="auto"/>
      </w:divBdr>
    </w:div>
    <w:div w:id="276376617">
      <w:bodyDiv w:val="1"/>
      <w:marLeft w:val="0"/>
      <w:marRight w:val="0"/>
      <w:marTop w:val="0"/>
      <w:marBottom w:val="0"/>
      <w:divBdr>
        <w:top w:val="none" w:sz="0" w:space="0" w:color="auto"/>
        <w:left w:val="none" w:sz="0" w:space="0" w:color="auto"/>
        <w:bottom w:val="none" w:sz="0" w:space="0" w:color="auto"/>
        <w:right w:val="none" w:sz="0" w:space="0" w:color="auto"/>
      </w:divBdr>
    </w:div>
    <w:div w:id="276909457">
      <w:bodyDiv w:val="1"/>
      <w:marLeft w:val="0"/>
      <w:marRight w:val="0"/>
      <w:marTop w:val="0"/>
      <w:marBottom w:val="0"/>
      <w:divBdr>
        <w:top w:val="none" w:sz="0" w:space="0" w:color="auto"/>
        <w:left w:val="none" w:sz="0" w:space="0" w:color="auto"/>
        <w:bottom w:val="none" w:sz="0" w:space="0" w:color="auto"/>
        <w:right w:val="none" w:sz="0" w:space="0" w:color="auto"/>
      </w:divBdr>
    </w:div>
    <w:div w:id="387535928">
      <w:bodyDiv w:val="1"/>
      <w:marLeft w:val="0"/>
      <w:marRight w:val="0"/>
      <w:marTop w:val="0"/>
      <w:marBottom w:val="0"/>
      <w:divBdr>
        <w:top w:val="none" w:sz="0" w:space="0" w:color="auto"/>
        <w:left w:val="none" w:sz="0" w:space="0" w:color="auto"/>
        <w:bottom w:val="none" w:sz="0" w:space="0" w:color="auto"/>
        <w:right w:val="none" w:sz="0" w:space="0" w:color="auto"/>
      </w:divBdr>
    </w:div>
    <w:div w:id="518273995">
      <w:bodyDiv w:val="1"/>
      <w:marLeft w:val="0"/>
      <w:marRight w:val="0"/>
      <w:marTop w:val="0"/>
      <w:marBottom w:val="0"/>
      <w:divBdr>
        <w:top w:val="none" w:sz="0" w:space="0" w:color="auto"/>
        <w:left w:val="none" w:sz="0" w:space="0" w:color="auto"/>
        <w:bottom w:val="none" w:sz="0" w:space="0" w:color="auto"/>
        <w:right w:val="none" w:sz="0" w:space="0" w:color="auto"/>
      </w:divBdr>
    </w:div>
    <w:div w:id="608699502">
      <w:bodyDiv w:val="1"/>
      <w:marLeft w:val="0"/>
      <w:marRight w:val="0"/>
      <w:marTop w:val="0"/>
      <w:marBottom w:val="0"/>
      <w:divBdr>
        <w:top w:val="none" w:sz="0" w:space="0" w:color="auto"/>
        <w:left w:val="none" w:sz="0" w:space="0" w:color="auto"/>
        <w:bottom w:val="none" w:sz="0" w:space="0" w:color="auto"/>
        <w:right w:val="none" w:sz="0" w:space="0" w:color="auto"/>
      </w:divBdr>
    </w:div>
    <w:div w:id="659384000">
      <w:bodyDiv w:val="1"/>
      <w:marLeft w:val="0"/>
      <w:marRight w:val="0"/>
      <w:marTop w:val="0"/>
      <w:marBottom w:val="0"/>
      <w:divBdr>
        <w:top w:val="none" w:sz="0" w:space="0" w:color="auto"/>
        <w:left w:val="none" w:sz="0" w:space="0" w:color="auto"/>
        <w:bottom w:val="none" w:sz="0" w:space="0" w:color="auto"/>
        <w:right w:val="none" w:sz="0" w:space="0" w:color="auto"/>
      </w:divBdr>
    </w:div>
    <w:div w:id="720253902">
      <w:bodyDiv w:val="1"/>
      <w:marLeft w:val="0"/>
      <w:marRight w:val="0"/>
      <w:marTop w:val="0"/>
      <w:marBottom w:val="0"/>
      <w:divBdr>
        <w:top w:val="none" w:sz="0" w:space="0" w:color="auto"/>
        <w:left w:val="none" w:sz="0" w:space="0" w:color="auto"/>
        <w:bottom w:val="none" w:sz="0" w:space="0" w:color="auto"/>
        <w:right w:val="none" w:sz="0" w:space="0" w:color="auto"/>
      </w:divBdr>
    </w:div>
    <w:div w:id="726493382">
      <w:bodyDiv w:val="1"/>
      <w:marLeft w:val="0"/>
      <w:marRight w:val="0"/>
      <w:marTop w:val="0"/>
      <w:marBottom w:val="0"/>
      <w:divBdr>
        <w:top w:val="none" w:sz="0" w:space="0" w:color="auto"/>
        <w:left w:val="none" w:sz="0" w:space="0" w:color="auto"/>
        <w:bottom w:val="none" w:sz="0" w:space="0" w:color="auto"/>
        <w:right w:val="none" w:sz="0" w:space="0" w:color="auto"/>
      </w:divBdr>
    </w:div>
    <w:div w:id="774902631">
      <w:bodyDiv w:val="1"/>
      <w:marLeft w:val="0"/>
      <w:marRight w:val="0"/>
      <w:marTop w:val="0"/>
      <w:marBottom w:val="0"/>
      <w:divBdr>
        <w:top w:val="none" w:sz="0" w:space="0" w:color="auto"/>
        <w:left w:val="none" w:sz="0" w:space="0" w:color="auto"/>
        <w:bottom w:val="none" w:sz="0" w:space="0" w:color="auto"/>
        <w:right w:val="none" w:sz="0" w:space="0" w:color="auto"/>
      </w:divBdr>
    </w:div>
    <w:div w:id="872113426">
      <w:bodyDiv w:val="1"/>
      <w:marLeft w:val="0"/>
      <w:marRight w:val="0"/>
      <w:marTop w:val="0"/>
      <w:marBottom w:val="0"/>
      <w:divBdr>
        <w:top w:val="none" w:sz="0" w:space="0" w:color="auto"/>
        <w:left w:val="none" w:sz="0" w:space="0" w:color="auto"/>
        <w:bottom w:val="none" w:sz="0" w:space="0" w:color="auto"/>
        <w:right w:val="none" w:sz="0" w:space="0" w:color="auto"/>
      </w:divBdr>
    </w:div>
    <w:div w:id="935863961">
      <w:bodyDiv w:val="1"/>
      <w:marLeft w:val="0"/>
      <w:marRight w:val="0"/>
      <w:marTop w:val="0"/>
      <w:marBottom w:val="0"/>
      <w:divBdr>
        <w:top w:val="none" w:sz="0" w:space="0" w:color="auto"/>
        <w:left w:val="none" w:sz="0" w:space="0" w:color="auto"/>
        <w:bottom w:val="none" w:sz="0" w:space="0" w:color="auto"/>
        <w:right w:val="none" w:sz="0" w:space="0" w:color="auto"/>
      </w:divBdr>
    </w:div>
    <w:div w:id="969631686">
      <w:bodyDiv w:val="1"/>
      <w:marLeft w:val="0"/>
      <w:marRight w:val="0"/>
      <w:marTop w:val="0"/>
      <w:marBottom w:val="0"/>
      <w:divBdr>
        <w:top w:val="none" w:sz="0" w:space="0" w:color="auto"/>
        <w:left w:val="none" w:sz="0" w:space="0" w:color="auto"/>
        <w:bottom w:val="none" w:sz="0" w:space="0" w:color="auto"/>
        <w:right w:val="none" w:sz="0" w:space="0" w:color="auto"/>
      </w:divBdr>
    </w:div>
    <w:div w:id="994190040">
      <w:bodyDiv w:val="1"/>
      <w:marLeft w:val="0"/>
      <w:marRight w:val="0"/>
      <w:marTop w:val="0"/>
      <w:marBottom w:val="0"/>
      <w:divBdr>
        <w:top w:val="none" w:sz="0" w:space="0" w:color="auto"/>
        <w:left w:val="none" w:sz="0" w:space="0" w:color="auto"/>
        <w:bottom w:val="none" w:sz="0" w:space="0" w:color="auto"/>
        <w:right w:val="none" w:sz="0" w:space="0" w:color="auto"/>
      </w:divBdr>
    </w:div>
    <w:div w:id="1098794578">
      <w:bodyDiv w:val="1"/>
      <w:marLeft w:val="0"/>
      <w:marRight w:val="0"/>
      <w:marTop w:val="0"/>
      <w:marBottom w:val="0"/>
      <w:divBdr>
        <w:top w:val="none" w:sz="0" w:space="0" w:color="auto"/>
        <w:left w:val="none" w:sz="0" w:space="0" w:color="auto"/>
        <w:bottom w:val="none" w:sz="0" w:space="0" w:color="auto"/>
        <w:right w:val="none" w:sz="0" w:space="0" w:color="auto"/>
      </w:divBdr>
    </w:div>
    <w:div w:id="1260332185">
      <w:bodyDiv w:val="1"/>
      <w:marLeft w:val="0"/>
      <w:marRight w:val="0"/>
      <w:marTop w:val="0"/>
      <w:marBottom w:val="0"/>
      <w:divBdr>
        <w:top w:val="none" w:sz="0" w:space="0" w:color="auto"/>
        <w:left w:val="none" w:sz="0" w:space="0" w:color="auto"/>
        <w:bottom w:val="none" w:sz="0" w:space="0" w:color="auto"/>
        <w:right w:val="none" w:sz="0" w:space="0" w:color="auto"/>
      </w:divBdr>
    </w:div>
    <w:div w:id="1372725497">
      <w:bodyDiv w:val="1"/>
      <w:marLeft w:val="0"/>
      <w:marRight w:val="0"/>
      <w:marTop w:val="0"/>
      <w:marBottom w:val="0"/>
      <w:divBdr>
        <w:top w:val="none" w:sz="0" w:space="0" w:color="auto"/>
        <w:left w:val="none" w:sz="0" w:space="0" w:color="auto"/>
        <w:bottom w:val="none" w:sz="0" w:space="0" w:color="auto"/>
        <w:right w:val="none" w:sz="0" w:space="0" w:color="auto"/>
      </w:divBdr>
    </w:div>
    <w:div w:id="1539705380">
      <w:bodyDiv w:val="1"/>
      <w:marLeft w:val="0"/>
      <w:marRight w:val="0"/>
      <w:marTop w:val="0"/>
      <w:marBottom w:val="0"/>
      <w:divBdr>
        <w:top w:val="none" w:sz="0" w:space="0" w:color="auto"/>
        <w:left w:val="none" w:sz="0" w:space="0" w:color="auto"/>
        <w:bottom w:val="none" w:sz="0" w:space="0" w:color="auto"/>
        <w:right w:val="none" w:sz="0" w:space="0" w:color="auto"/>
      </w:divBdr>
    </w:div>
    <w:div w:id="1610894549">
      <w:bodyDiv w:val="1"/>
      <w:marLeft w:val="0"/>
      <w:marRight w:val="0"/>
      <w:marTop w:val="0"/>
      <w:marBottom w:val="0"/>
      <w:divBdr>
        <w:top w:val="none" w:sz="0" w:space="0" w:color="auto"/>
        <w:left w:val="none" w:sz="0" w:space="0" w:color="auto"/>
        <w:bottom w:val="none" w:sz="0" w:space="0" w:color="auto"/>
        <w:right w:val="none" w:sz="0" w:space="0" w:color="auto"/>
      </w:divBdr>
    </w:div>
    <w:div w:id="1703091398">
      <w:bodyDiv w:val="1"/>
      <w:marLeft w:val="0"/>
      <w:marRight w:val="0"/>
      <w:marTop w:val="0"/>
      <w:marBottom w:val="0"/>
      <w:divBdr>
        <w:top w:val="none" w:sz="0" w:space="0" w:color="auto"/>
        <w:left w:val="none" w:sz="0" w:space="0" w:color="auto"/>
        <w:bottom w:val="none" w:sz="0" w:space="0" w:color="auto"/>
        <w:right w:val="none" w:sz="0" w:space="0" w:color="auto"/>
      </w:divBdr>
    </w:div>
    <w:div w:id="1743138844">
      <w:bodyDiv w:val="1"/>
      <w:marLeft w:val="0"/>
      <w:marRight w:val="0"/>
      <w:marTop w:val="0"/>
      <w:marBottom w:val="0"/>
      <w:divBdr>
        <w:top w:val="none" w:sz="0" w:space="0" w:color="auto"/>
        <w:left w:val="none" w:sz="0" w:space="0" w:color="auto"/>
        <w:bottom w:val="none" w:sz="0" w:space="0" w:color="auto"/>
        <w:right w:val="none" w:sz="0" w:space="0" w:color="auto"/>
      </w:divBdr>
    </w:div>
    <w:div w:id="1831020297">
      <w:bodyDiv w:val="1"/>
      <w:marLeft w:val="0"/>
      <w:marRight w:val="0"/>
      <w:marTop w:val="0"/>
      <w:marBottom w:val="0"/>
      <w:divBdr>
        <w:top w:val="none" w:sz="0" w:space="0" w:color="auto"/>
        <w:left w:val="none" w:sz="0" w:space="0" w:color="auto"/>
        <w:bottom w:val="none" w:sz="0" w:space="0" w:color="auto"/>
        <w:right w:val="none" w:sz="0" w:space="0" w:color="auto"/>
      </w:divBdr>
    </w:div>
    <w:div w:id="1865705764">
      <w:bodyDiv w:val="1"/>
      <w:marLeft w:val="0"/>
      <w:marRight w:val="0"/>
      <w:marTop w:val="0"/>
      <w:marBottom w:val="0"/>
      <w:divBdr>
        <w:top w:val="none" w:sz="0" w:space="0" w:color="auto"/>
        <w:left w:val="none" w:sz="0" w:space="0" w:color="auto"/>
        <w:bottom w:val="none" w:sz="0" w:space="0" w:color="auto"/>
        <w:right w:val="none" w:sz="0" w:space="0" w:color="auto"/>
      </w:divBdr>
    </w:div>
    <w:div w:id="1941839649">
      <w:bodyDiv w:val="1"/>
      <w:marLeft w:val="0"/>
      <w:marRight w:val="0"/>
      <w:marTop w:val="0"/>
      <w:marBottom w:val="0"/>
      <w:divBdr>
        <w:top w:val="none" w:sz="0" w:space="0" w:color="auto"/>
        <w:left w:val="none" w:sz="0" w:space="0" w:color="auto"/>
        <w:bottom w:val="none" w:sz="0" w:space="0" w:color="auto"/>
        <w:right w:val="none" w:sz="0" w:space="0" w:color="auto"/>
      </w:divBdr>
    </w:div>
    <w:div w:id="1962229451">
      <w:bodyDiv w:val="1"/>
      <w:marLeft w:val="0"/>
      <w:marRight w:val="0"/>
      <w:marTop w:val="0"/>
      <w:marBottom w:val="0"/>
      <w:divBdr>
        <w:top w:val="none" w:sz="0" w:space="0" w:color="auto"/>
        <w:left w:val="none" w:sz="0" w:space="0" w:color="auto"/>
        <w:bottom w:val="none" w:sz="0" w:space="0" w:color="auto"/>
        <w:right w:val="none" w:sz="0" w:space="0" w:color="auto"/>
      </w:divBdr>
    </w:div>
    <w:div w:id="2017341255">
      <w:bodyDiv w:val="1"/>
      <w:marLeft w:val="0"/>
      <w:marRight w:val="0"/>
      <w:marTop w:val="0"/>
      <w:marBottom w:val="0"/>
      <w:divBdr>
        <w:top w:val="none" w:sz="0" w:space="0" w:color="auto"/>
        <w:left w:val="none" w:sz="0" w:space="0" w:color="auto"/>
        <w:bottom w:val="none" w:sz="0" w:space="0" w:color="auto"/>
        <w:right w:val="none" w:sz="0" w:space="0" w:color="auto"/>
      </w:divBdr>
    </w:div>
    <w:div w:id="2064913110">
      <w:bodyDiv w:val="1"/>
      <w:marLeft w:val="0"/>
      <w:marRight w:val="0"/>
      <w:marTop w:val="0"/>
      <w:marBottom w:val="0"/>
      <w:divBdr>
        <w:top w:val="none" w:sz="0" w:space="0" w:color="auto"/>
        <w:left w:val="none" w:sz="0" w:space="0" w:color="auto"/>
        <w:bottom w:val="none" w:sz="0" w:space="0" w:color="auto"/>
        <w:right w:val="none" w:sz="0" w:space="0" w:color="auto"/>
      </w:divBdr>
    </w:div>
    <w:div w:id="2144618682">
      <w:bodyDiv w:val="1"/>
      <w:marLeft w:val="0"/>
      <w:marRight w:val="0"/>
      <w:marTop w:val="0"/>
      <w:marBottom w:val="0"/>
      <w:divBdr>
        <w:top w:val="none" w:sz="0" w:space="0" w:color="auto"/>
        <w:left w:val="none" w:sz="0" w:space="0" w:color="auto"/>
        <w:bottom w:val="none" w:sz="0" w:space="0" w:color="auto"/>
        <w:right w:val="none" w:sz="0" w:space="0" w:color="auto"/>
      </w:divBdr>
      <w:divsChild>
        <w:div w:id="304824174">
          <w:marLeft w:val="0"/>
          <w:marRight w:val="0"/>
          <w:marTop w:val="0"/>
          <w:marBottom w:val="0"/>
          <w:divBdr>
            <w:top w:val="none" w:sz="0" w:space="0" w:color="auto"/>
            <w:left w:val="none" w:sz="0" w:space="0" w:color="auto"/>
            <w:bottom w:val="none" w:sz="0" w:space="0" w:color="auto"/>
            <w:right w:val="none" w:sz="0" w:space="0" w:color="auto"/>
          </w:divBdr>
        </w:div>
        <w:div w:id="537015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www.climatebonds.net/standard/abou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899A5-4713-8047-B921-472A2B16F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Lionel Mok</cp:lastModifiedBy>
  <cp:revision>2</cp:revision>
  <cp:lastPrinted>2020-08-28T14:33:00Z</cp:lastPrinted>
  <dcterms:created xsi:type="dcterms:W3CDTF">2020-10-25T07:35:00Z</dcterms:created>
  <dcterms:modified xsi:type="dcterms:W3CDTF">2020-10-25T07:35:00Z</dcterms:modified>
</cp:coreProperties>
</file>