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40A1" w:rsidRDefault="001E40A1">
      <w:pPr>
        <w:rPr>
          <w:rFonts w:ascii="Calibri" w:eastAsia="Calibri" w:hAnsi="Calibri" w:cs="Calibri"/>
        </w:rPr>
      </w:pPr>
    </w:p>
    <w:p w14:paraId="00000002" w14:textId="77777777" w:rsidR="001E40A1" w:rsidRDefault="001E40A1">
      <w:pPr>
        <w:pStyle w:val="Title"/>
        <w:rPr>
          <w:rFonts w:ascii="Calibri" w:eastAsia="Calibri" w:hAnsi="Calibri" w:cs="Calibri"/>
          <w:sz w:val="22"/>
        </w:rPr>
      </w:pPr>
    </w:p>
    <w:p w14:paraId="00000003" w14:textId="77777777" w:rsidR="001E40A1" w:rsidRDefault="001E40A1">
      <w:pPr>
        <w:pStyle w:val="Title"/>
        <w:rPr>
          <w:rFonts w:ascii="Calibri" w:eastAsia="Calibri" w:hAnsi="Calibri" w:cs="Calibri"/>
          <w:sz w:val="22"/>
        </w:rPr>
      </w:pPr>
    </w:p>
    <w:p w14:paraId="00000004" w14:textId="77777777" w:rsidR="001E40A1" w:rsidRDefault="001E40A1">
      <w:pPr>
        <w:pStyle w:val="Title"/>
        <w:rPr>
          <w:rFonts w:ascii="Calibri" w:eastAsia="Calibri" w:hAnsi="Calibri" w:cs="Calibri"/>
          <w:sz w:val="22"/>
        </w:rPr>
      </w:pPr>
    </w:p>
    <w:p w14:paraId="00000005" w14:textId="77777777" w:rsidR="001E40A1" w:rsidRDefault="007A0446">
      <w:pPr>
        <w:pStyle w:val="Title"/>
        <w:rPr>
          <w:rFonts w:ascii="Calibri" w:eastAsia="Calibri" w:hAnsi="Calibri" w:cs="Calibri"/>
          <w:sz w:val="22"/>
        </w:rPr>
      </w:pPr>
      <w:r>
        <w:rPr>
          <w:rFonts w:ascii="Calibri" w:eastAsia="Calibri" w:hAnsi="Calibri" w:cs="Calibri"/>
          <w:sz w:val="22"/>
        </w:rPr>
        <w:t>CBI Shipping Criteria – Background Paper</w:t>
      </w:r>
    </w:p>
    <w:p w14:paraId="00000006" w14:textId="77777777" w:rsidR="001E40A1" w:rsidRDefault="001E40A1">
      <w:pPr>
        <w:rPr>
          <w:rFonts w:ascii="Calibri" w:eastAsia="Calibri" w:hAnsi="Calibri" w:cs="Calibri"/>
          <w:sz w:val="22"/>
          <w:szCs w:val="22"/>
        </w:rPr>
      </w:pPr>
    </w:p>
    <w:p w14:paraId="00000007" w14:textId="77777777" w:rsidR="001E40A1" w:rsidRDefault="007A0446">
      <w:pPr>
        <w:pStyle w:val="Subtitle"/>
        <w:rPr>
          <w:rFonts w:ascii="Calibri" w:eastAsia="Calibri" w:hAnsi="Calibri" w:cs="Calibri"/>
          <w:sz w:val="22"/>
          <w:szCs w:val="22"/>
        </w:rPr>
      </w:pPr>
      <w:r>
        <w:rPr>
          <w:rFonts w:ascii="Calibri" w:eastAsia="Calibri" w:hAnsi="Calibri" w:cs="Calibri"/>
          <w:sz w:val="22"/>
          <w:szCs w:val="22"/>
        </w:rPr>
        <w:t>The Shipping</w:t>
      </w:r>
      <w:r>
        <w:rPr>
          <w:rFonts w:ascii="Calibri" w:eastAsia="Calibri" w:hAnsi="Calibri" w:cs="Calibri"/>
          <w:i/>
          <w:sz w:val="22"/>
          <w:szCs w:val="22"/>
        </w:rPr>
        <w:t xml:space="preserve"> </w:t>
      </w:r>
      <w:r>
        <w:rPr>
          <w:rFonts w:ascii="Calibri" w:eastAsia="Calibri" w:hAnsi="Calibri" w:cs="Calibri"/>
          <w:sz w:val="22"/>
          <w:szCs w:val="22"/>
        </w:rPr>
        <w:t>Criteria for the</w:t>
      </w:r>
    </w:p>
    <w:p w14:paraId="00000008" w14:textId="77777777" w:rsidR="001E40A1" w:rsidRDefault="007A0446">
      <w:pPr>
        <w:pStyle w:val="Subtitle"/>
        <w:rPr>
          <w:rFonts w:ascii="Calibri" w:eastAsia="Calibri" w:hAnsi="Calibri" w:cs="Calibri"/>
          <w:sz w:val="22"/>
          <w:szCs w:val="22"/>
        </w:rPr>
      </w:pPr>
      <w:r>
        <w:rPr>
          <w:rFonts w:ascii="Calibri" w:eastAsia="Calibri" w:hAnsi="Calibri" w:cs="Calibri"/>
          <w:sz w:val="22"/>
          <w:szCs w:val="22"/>
        </w:rPr>
        <w:t>Climate Bonds Standard &amp; Certification Scheme</w:t>
      </w:r>
    </w:p>
    <w:p w14:paraId="00000009" w14:textId="77777777" w:rsidR="001E40A1" w:rsidRDefault="007A0446">
      <w:pPr>
        <w:pStyle w:val="Subtitle"/>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p>
    <w:p w14:paraId="0000000A" w14:textId="77777777" w:rsidR="001E40A1" w:rsidRDefault="007A0446">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p>
    <w:p w14:paraId="0000000B" w14:textId="77777777" w:rsidR="001E40A1" w:rsidRDefault="001E40A1">
      <w:pPr>
        <w:rPr>
          <w:rFonts w:ascii="Calibri" w:eastAsia="Calibri" w:hAnsi="Calibri" w:cs="Calibri"/>
          <w:sz w:val="22"/>
          <w:szCs w:val="22"/>
        </w:rPr>
      </w:pPr>
    </w:p>
    <w:p w14:paraId="0000000C" w14:textId="77777777" w:rsidR="001E40A1" w:rsidRDefault="001E40A1">
      <w:pPr>
        <w:rPr>
          <w:rFonts w:ascii="Calibri" w:eastAsia="Calibri" w:hAnsi="Calibri" w:cs="Calibri"/>
          <w:sz w:val="22"/>
          <w:szCs w:val="22"/>
        </w:rPr>
      </w:pPr>
    </w:p>
    <w:p w14:paraId="0000000D" w14:textId="77777777" w:rsidR="001E40A1" w:rsidRDefault="007A0446">
      <w:pPr>
        <w:rPr>
          <w:rFonts w:ascii="Calibri" w:eastAsia="Calibri" w:hAnsi="Calibri" w:cs="Calibri"/>
          <w:color w:val="1F497D"/>
          <w:sz w:val="22"/>
          <w:szCs w:val="22"/>
        </w:rPr>
      </w:pPr>
      <w:r>
        <w:rPr>
          <w:rFonts w:ascii="Calibri" w:eastAsia="Calibri" w:hAnsi="Calibri" w:cs="Calibri"/>
          <w:color w:val="1F497D"/>
          <w:sz w:val="22"/>
          <w:szCs w:val="22"/>
        </w:rPr>
        <w:t xml:space="preserve">September 2020 </w:t>
      </w:r>
    </w:p>
    <w:p w14:paraId="0000000E" w14:textId="77777777" w:rsidR="001E40A1" w:rsidRDefault="001E40A1">
      <w:pPr>
        <w:rPr>
          <w:rFonts w:ascii="Calibri" w:eastAsia="Calibri" w:hAnsi="Calibri" w:cs="Calibri"/>
          <w:color w:val="1F497D"/>
        </w:rPr>
      </w:pPr>
    </w:p>
    <w:p w14:paraId="0000000F" w14:textId="77777777" w:rsidR="001E40A1" w:rsidRDefault="001E40A1">
      <w:pPr>
        <w:rPr>
          <w:rFonts w:ascii="Calibri" w:eastAsia="Calibri" w:hAnsi="Calibri" w:cs="Calibri"/>
          <w:color w:val="1F497D"/>
        </w:rPr>
      </w:pPr>
    </w:p>
    <w:p w14:paraId="00000010" w14:textId="77777777" w:rsidR="001E40A1" w:rsidRDefault="001E40A1">
      <w:pPr>
        <w:rPr>
          <w:rFonts w:ascii="Calibri" w:eastAsia="Calibri" w:hAnsi="Calibri" w:cs="Calibri"/>
        </w:rPr>
      </w:pPr>
    </w:p>
    <w:p w14:paraId="00000011" w14:textId="77777777" w:rsidR="001E40A1" w:rsidRDefault="001E40A1">
      <w:pPr>
        <w:rPr>
          <w:rFonts w:ascii="Calibri" w:eastAsia="Calibri" w:hAnsi="Calibri" w:cs="Calibri"/>
        </w:rPr>
      </w:pPr>
    </w:p>
    <w:p w14:paraId="00000012" w14:textId="77777777" w:rsidR="001E40A1" w:rsidRDefault="001E40A1">
      <w:pPr>
        <w:rPr>
          <w:rFonts w:ascii="Calibri" w:eastAsia="Calibri" w:hAnsi="Calibri" w:cs="Calibri"/>
        </w:rPr>
      </w:pPr>
    </w:p>
    <w:p w14:paraId="00000013" w14:textId="77777777" w:rsidR="001E40A1" w:rsidRDefault="001E40A1">
      <w:pPr>
        <w:rPr>
          <w:rFonts w:ascii="Calibri" w:eastAsia="Calibri" w:hAnsi="Calibri" w:cs="Calibri"/>
        </w:rPr>
      </w:pPr>
    </w:p>
    <w:p w14:paraId="00000014" w14:textId="77777777" w:rsidR="001E40A1" w:rsidRDefault="001E40A1">
      <w:pPr>
        <w:rPr>
          <w:rFonts w:ascii="Calibri" w:eastAsia="Calibri" w:hAnsi="Calibri" w:cs="Calibri"/>
        </w:rPr>
      </w:pPr>
    </w:p>
    <w:p w14:paraId="00000015" w14:textId="77777777" w:rsidR="001E40A1" w:rsidRDefault="001E40A1">
      <w:pPr>
        <w:rPr>
          <w:rFonts w:ascii="Calibri" w:eastAsia="Calibri" w:hAnsi="Calibri" w:cs="Calibri"/>
        </w:rPr>
      </w:pPr>
    </w:p>
    <w:p w14:paraId="00000016" w14:textId="77777777" w:rsidR="001E40A1" w:rsidRDefault="001E40A1">
      <w:pPr>
        <w:rPr>
          <w:rFonts w:ascii="Calibri" w:eastAsia="Calibri" w:hAnsi="Calibri" w:cs="Calibri"/>
        </w:rPr>
      </w:pPr>
    </w:p>
    <w:p w14:paraId="00000017" w14:textId="77777777" w:rsidR="001E40A1" w:rsidRDefault="001E40A1">
      <w:pPr>
        <w:rPr>
          <w:rFonts w:ascii="Calibri" w:eastAsia="Calibri" w:hAnsi="Calibri" w:cs="Calibri"/>
        </w:rPr>
      </w:pPr>
    </w:p>
    <w:p w14:paraId="00000018" w14:textId="77777777" w:rsidR="001E40A1" w:rsidRDefault="001E40A1">
      <w:pPr>
        <w:rPr>
          <w:rFonts w:ascii="Calibri" w:eastAsia="Calibri" w:hAnsi="Calibri" w:cs="Calibri"/>
        </w:rPr>
      </w:pPr>
    </w:p>
    <w:p w14:paraId="00000019" w14:textId="77777777" w:rsidR="001E40A1" w:rsidRDefault="001E40A1">
      <w:pPr>
        <w:rPr>
          <w:rFonts w:ascii="Calibri" w:eastAsia="Calibri" w:hAnsi="Calibri" w:cs="Calibri"/>
        </w:rPr>
      </w:pPr>
    </w:p>
    <w:p w14:paraId="0000001A" w14:textId="77777777" w:rsidR="001E40A1" w:rsidRDefault="001E40A1">
      <w:pPr>
        <w:rPr>
          <w:rFonts w:ascii="Calibri" w:eastAsia="Calibri" w:hAnsi="Calibri" w:cs="Calibri"/>
        </w:rPr>
      </w:pPr>
    </w:p>
    <w:p w14:paraId="0000001B" w14:textId="77777777" w:rsidR="001E40A1" w:rsidRDefault="001E40A1">
      <w:pPr>
        <w:rPr>
          <w:rFonts w:ascii="Calibri" w:eastAsia="Calibri" w:hAnsi="Calibri" w:cs="Calibri"/>
        </w:rPr>
      </w:pPr>
    </w:p>
    <w:p w14:paraId="0000001C" w14:textId="77777777" w:rsidR="001E40A1" w:rsidRDefault="001E40A1">
      <w:pPr>
        <w:rPr>
          <w:rFonts w:ascii="Calibri" w:eastAsia="Calibri" w:hAnsi="Calibri" w:cs="Calibri"/>
        </w:rPr>
      </w:pPr>
    </w:p>
    <w:p w14:paraId="0000001D" w14:textId="77777777" w:rsidR="001E40A1" w:rsidRDefault="001E40A1">
      <w:pPr>
        <w:rPr>
          <w:rFonts w:ascii="Calibri" w:eastAsia="Calibri" w:hAnsi="Calibri" w:cs="Calibri"/>
        </w:rPr>
      </w:pPr>
    </w:p>
    <w:p w14:paraId="0000001E" w14:textId="77777777" w:rsidR="001E40A1" w:rsidRDefault="007A0446">
      <w:pPr>
        <w:rPr>
          <w:rFonts w:ascii="Calibri" w:eastAsia="Calibri" w:hAnsi="Calibri" w:cs="Calibri"/>
        </w:rPr>
      </w:pPr>
      <w:r>
        <w:rPr>
          <w:noProof/>
        </w:rPr>
        <w:drawing>
          <wp:anchor distT="0" distB="0" distL="114300" distR="114300" simplePos="0" relativeHeight="251658240" behindDoc="0" locked="0" layoutInCell="1" hidden="0" allowOverlap="1">
            <wp:simplePos x="0" y="0"/>
            <wp:positionH relativeFrom="column">
              <wp:posOffset>3219857</wp:posOffset>
            </wp:positionH>
            <wp:positionV relativeFrom="paragraph">
              <wp:posOffset>123885</wp:posOffset>
            </wp:positionV>
            <wp:extent cx="2828925" cy="1030605"/>
            <wp:effectExtent l="0" t="0" r="0" b="0"/>
            <wp:wrapSquare wrapText="bothSides" distT="0" distB="0" distL="114300" distR="114300"/>
            <wp:docPr id="19" name="image1.png" descr="Description: :::Climate Bonds comms:Brochures PDFs to send:2.CBI_Standards_Dec13.pdf"/>
            <wp:cNvGraphicFramePr/>
            <a:graphic xmlns:a="http://schemas.openxmlformats.org/drawingml/2006/main">
              <a:graphicData uri="http://schemas.openxmlformats.org/drawingml/2006/picture">
                <pic:pic xmlns:pic="http://schemas.openxmlformats.org/drawingml/2006/picture">
                  <pic:nvPicPr>
                    <pic:cNvPr id="0" name="image1.png" descr="Description: :::Climate Bonds comms:Brochures PDFs to send:2.CBI_Standards_Dec13.pdf"/>
                    <pic:cNvPicPr preferRelativeResize="0"/>
                  </pic:nvPicPr>
                  <pic:blipFill>
                    <a:blip r:embed="rId8"/>
                    <a:srcRect t="64394" b="10245"/>
                    <a:stretch>
                      <a:fillRect/>
                    </a:stretch>
                  </pic:blipFill>
                  <pic:spPr>
                    <a:xfrm>
                      <a:off x="0" y="0"/>
                      <a:ext cx="2828925" cy="1030605"/>
                    </a:xfrm>
                    <a:prstGeom prst="rect">
                      <a:avLst/>
                    </a:prstGeom>
                    <a:ln/>
                  </pic:spPr>
                </pic:pic>
              </a:graphicData>
            </a:graphic>
          </wp:anchor>
        </w:drawing>
      </w:r>
    </w:p>
    <w:p w14:paraId="0000001F" w14:textId="77777777" w:rsidR="001E40A1" w:rsidRDefault="001E40A1">
      <w:pPr>
        <w:pBdr>
          <w:top w:val="nil"/>
          <w:left w:val="nil"/>
          <w:bottom w:val="nil"/>
          <w:right w:val="nil"/>
          <w:between w:val="nil"/>
        </w:pBdr>
        <w:rPr>
          <w:rFonts w:ascii="Calibri" w:eastAsia="Calibri" w:hAnsi="Calibri" w:cs="Calibri"/>
          <w:color w:val="000000"/>
        </w:rPr>
      </w:pPr>
    </w:p>
    <w:p w14:paraId="00000020" w14:textId="77777777" w:rsidR="001E40A1" w:rsidRDefault="001E40A1">
      <w:pPr>
        <w:pBdr>
          <w:top w:val="nil"/>
          <w:left w:val="nil"/>
          <w:bottom w:val="nil"/>
          <w:right w:val="nil"/>
          <w:between w:val="nil"/>
        </w:pBdr>
        <w:rPr>
          <w:rFonts w:ascii="Calibri" w:eastAsia="Calibri" w:hAnsi="Calibri" w:cs="Calibri"/>
          <w:color w:val="000000"/>
        </w:rPr>
      </w:pPr>
    </w:p>
    <w:p w14:paraId="00000021" w14:textId="77777777" w:rsidR="001E40A1" w:rsidRDefault="001E40A1">
      <w:pPr>
        <w:pBdr>
          <w:top w:val="nil"/>
          <w:left w:val="nil"/>
          <w:bottom w:val="nil"/>
          <w:right w:val="nil"/>
          <w:between w:val="nil"/>
        </w:pBdr>
        <w:rPr>
          <w:rFonts w:ascii="Calibri" w:eastAsia="Calibri" w:hAnsi="Calibri" w:cs="Calibri"/>
          <w:color w:val="000000"/>
        </w:rPr>
      </w:pPr>
    </w:p>
    <w:p w14:paraId="00000022" w14:textId="77777777" w:rsidR="001E40A1" w:rsidRDefault="001E40A1">
      <w:pPr>
        <w:pBdr>
          <w:top w:val="nil"/>
          <w:left w:val="nil"/>
          <w:bottom w:val="nil"/>
          <w:right w:val="nil"/>
          <w:between w:val="nil"/>
        </w:pBdr>
        <w:rPr>
          <w:rFonts w:ascii="Calibri" w:eastAsia="Calibri" w:hAnsi="Calibri" w:cs="Calibri"/>
          <w:color w:val="000000"/>
        </w:rPr>
      </w:pPr>
    </w:p>
    <w:p w14:paraId="00000023" w14:textId="77777777" w:rsidR="001E40A1" w:rsidRDefault="001E40A1">
      <w:pPr>
        <w:pBdr>
          <w:top w:val="nil"/>
          <w:left w:val="nil"/>
          <w:bottom w:val="nil"/>
          <w:right w:val="nil"/>
          <w:between w:val="nil"/>
        </w:pBdr>
        <w:rPr>
          <w:rFonts w:ascii="Calibri" w:eastAsia="Calibri" w:hAnsi="Calibri" w:cs="Calibri"/>
          <w:color w:val="000000"/>
        </w:rPr>
      </w:pPr>
    </w:p>
    <w:p w14:paraId="00000024" w14:textId="77777777" w:rsidR="001E40A1" w:rsidRDefault="001E40A1">
      <w:pPr>
        <w:pBdr>
          <w:top w:val="nil"/>
          <w:left w:val="nil"/>
          <w:bottom w:val="nil"/>
          <w:right w:val="nil"/>
          <w:between w:val="nil"/>
        </w:pBdr>
        <w:rPr>
          <w:rFonts w:ascii="Calibri" w:eastAsia="Calibri" w:hAnsi="Calibri" w:cs="Calibri"/>
          <w:color w:val="000000"/>
        </w:rPr>
      </w:pPr>
    </w:p>
    <w:p w14:paraId="00000025" w14:textId="77777777" w:rsidR="001E40A1" w:rsidRDefault="007A0446">
      <w:pPr>
        <w:pBdr>
          <w:top w:val="nil"/>
          <w:left w:val="nil"/>
          <w:bottom w:val="nil"/>
          <w:right w:val="nil"/>
          <w:between w:val="nil"/>
        </w:pBdr>
        <w:rPr>
          <w:rFonts w:ascii="Calibri" w:eastAsia="Calibri" w:hAnsi="Calibri" w:cs="Calibri"/>
          <w:color w:val="000000"/>
        </w:rPr>
        <w:sectPr w:rsidR="001E40A1">
          <w:footerReference w:type="even" r:id="rId9"/>
          <w:footerReference w:type="default" r:id="rId10"/>
          <w:pgSz w:w="11906" w:h="16838"/>
          <w:pgMar w:top="851" w:right="962" w:bottom="1134" w:left="1134" w:header="709" w:footer="850" w:gutter="0"/>
          <w:pgNumType w:start="0"/>
          <w:cols w:space="720" w:equalWidth="0">
            <w:col w:w="9360"/>
          </w:cols>
        </w:sect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342900</wp:posOffset>
                </wp:positionV>
                <wp:extent cx="6329045" cy="2265045"/>
                <wp:effectExtent l="0" t="0" r="0" b="0"/>
                <wp:wrapNone/>
                <wp:docPr id="18" name="Rectangle 18"/>
                <wp:cNvGraphicFramePr/>
                <a:graphic xmlns:a="http://schemas.openxmlformats.org/drawingml/2006/main">
                  <a:graphicData uri="http://schemas.microsoft.com/office/word/2010/wordprocessingShape">
                    <wps:wsp>
                      <wps:cNvSpPr/>
                      <wps:spPr>
                        <a:xfrm>
                          <a:off x="2186240" y="2652240"/>
                          <a:ext cx="6319520" cy="2255520"/>
                        </a:xfrm>
                        <a:prstGeom prst="rect">
                          <a:avLst/>
                        </a:prstGeom>
                        <a:solidFill>
                          <a:schemeClr val="lt1"/>
                        </a:solidFill>
                        <a:ln>
                          <a:noFill/>
                        </a:ln>
                      </wps:spPr>
                      <wps:txbx>
                        <w:txbxContent>
                          <w:p w14:paraId="4D1DC12F" w14:textId="77777777" w:rsidR="001E40A1" w:rsidRDefault="007A0446">
                            <w:pPr>
                              <w:textDirection w:val="btLr"/>
                            </w:pPr>
                            <w:r>
                              <w:rPr>
                                <w:rFonts w:ascii="AppleSystemUIFont" w:eastAsia="AppleSystemUIFont" w:hAnsi="AppleSystemUIFont" w:cs="AppleSystemUIFont"/>
                                <w:color w:val="000000"/>
                                <w:sz w:val="24"/>
                              </w:rPr>
                              <w:t xml:space="preserve">The Climate Bonds Initiative gratefully acknowledges the Technical and Industry Working Group members who supported the development of these Criteria. Members are listed in Appendix 1. </w:t>
                            </w:r>
                          </w:p>
                          <w:p w14:paraId="09890151" w14:textId="77777777" w:rsidR="001E40A1" w:rsidRDefault="001E40A1">
                            <w:pPr>
                              <w:textDirection w:val="btLr"/>
                            </w:pPr>
                          </w:p>
                          <w:p w14:paraId="680440B6" w14:textId="77777777" w:rsidR="001E40A1" w:rsidRDefault="007A0446">
                            <w:pPr>
                              <w:textDirection w:val="btLr"/>
                            </w:pPr>
                            <w:r>
                              <w:rPr>
                                <w:rFonts w:ascii="AppleSystemUIFont" w:eastAsia="AppleSystemUIFont" w:hAnsi="AppleSystemUIFont" w:cs="AppleSystemUIFont"/>
                                <w:color w:val="000000"/>
                                <w:sz w:val="24"/>
                              </w:rPr>
                              <w:t>Special thanks are given to Tristan Smith, and Sophie Parker from University College London, who acted as the lead specialists coordinating the development of the Criteria through the Technical Working Group, and to Adolf Ng, Mawuli Afenyo and Roozbeh Pana</w:t>
                            </w:r>
                            <w:r>
                              <w:rPr>
                                <w:rFonts w:ascii="AppleSystemUIFont" w:eastAsia="AppleSystemUIFont" w:hAnsi="AppleSystemUIFont" w:cs="AppleSystemUIFont"/>
                                <w:color w:val="000000"/>
                                <w:sz w:val="24"/>
                              </w:rPr>
                              <w:t>hi from the University of Manitoba, who were instrumental the discussion on adaptation and resilience.</w:t>
                            </w:r>
                          </w:p>
                          <w:p w14:paraId="0633807B" w14:textId="77777777" w:rsidR="001E40A1" w:rsidRDefault="001E40A1">
                            <w:pPr>
                              <w:textDirection w:val="btLr"/>
                            </w:pPr>
                          </w:p>
                          <w:p w14:paraId="00D4938D" w14:textId="77777777" w:rsidR="001E40A1" w:rsidRDefault="007A0446">
                            <w:pPr>
                              <w:textDirection w:val="btLr"/>
                            </w:pPr>
                            <w:r>
                              <w:rPr>
                                <w:rFonts w:ascii="AppleSystemUIFont" w:eastAsia="AppleSystemUIFont" w:hAnsi="AppleSystemUIFont" w:cs="AppleSystemUIFont"/>
                                <w:color w:val="000000"/>
                                <w:sz w:val="24"/>
                              </w:rPr>
                              <w:t xml:space="preserve">Proposals were agreed by the Technical Working Group, taking into account feedback from the Industry Working Group. </w:t>
                            </w:r>
                          </w:p>
                          <w:p w14:paraId="762D49C8" w14:textId="77777777" w:rsidR="001E40A1" w:rsidRDefault="001E40A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342900</wp:posOffset>
                </wp:positionV>
                <wp:extent cx="6329045" cy="2265045"/>
                <wp:effectExtent b="0" l="0" r="0" t="0"/>
                <wp:wrapNone/>
                <wp:docPr id="1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29045" cy="2265045"/>
                        </a:xfrm>
                        <a:prstGeom prst="rect"/>
                        <a:ln/>
                      </pic:spPr>
                    </pic:pic>
                  </a:graphicData>
                </a:graphic>
              </wp:anchor>
            </w:drawing>
          </mc:Fallback>
        </mc:AlternateContent>
      </w:r>
    </w:p>
    <w:p w14:paraId="00000026" w14:textId="77777777" w:rsidR="001E40A1" w:rsidRDefault="001E40A1">
      <w:pPr>
        <w:keepNext/>
        <w:keepLines/>
        <w:pBdr>
          <w:top w:val="nil"/>
          <w:left w:val="nil"/>
          <w:bottom w:val="nil"/>
          <w:right w:val="nil"/>
          <w:between w:val="nil"/>
        </w:pBdr>
        <w:spacing w:before="480"/>
        <w:rPr>
          <w:rFonts w:ascii="Calibri" w:eastAsia="Calibri" w:hAnsi="Calibri" w:cs="Calibri"/>
          <w:color w:val="2C6F95"/>
        </w:rPr>
      </w:pPr>
      <w:bookmarkStart w:id="0" w:name="_heading=h.gjdgxs" w:colFirst="0" w:colLast="0"/>
      <w:bookmarkEnd w:id="0"/>
    </w:p>
    <w:p w14:paraId="00000027" w14:textId="77777777" w:rsidR="001E40A1" w:rsidRDefault="007A0446">
      <w:pPr>
        <w:keepNext/>
        <w:keepLines/>
        <w:pBdr>
          <w:top w:val="nil"/>
          <w:left w:val="nil"/>
          <w:bottom w:val="nil"/>
          <w:right w:val="nil"/>
          <w:between w:val="nil"/>
        </w:pBdr>
        <w:spacing w:before="480"/>
        <w:rPr>
          <w:rFonts w:ascii="Calibri" w:eastAsia="Calibri" w:hAnsi="Calibri" w:cs="Calibri"/>
          <w:color w:val="2C6F95"/>
        </w:rPr>
      </w:pPr>
      <w:bookmarkStart w:id="1" w:name="_heading=h.30j0zll" w:colFirst="0" w:colLast="0"/>
      <w:bookmarkEnd w:id="1"/>
      <w:r>
        <w:rPr>
          <w:rFonts w:ascii="Calibri" w:eastAsia="Calibri" w:hAnsi="Calibri" w:cs="Calibri"/>
          <w:color w:val="2C6F95"/>
        </w:rPr>
        <w:t xml:space="preserve">Definitions </w:t>
      </w:r>
    </w:p>
    <w:p w14:paraId="00000028" w14:textId="77777777" w:rsidR="001E40A1" w:rsidRDefault="001E40A1">
      <w:pPr>
        <w:rPr>
          <w:rFonts w:ascii="Calibri" w:eastAsia="Calibri" w:hAnsi="Calibri" w:cs="Calibri"/>
        </w:rPr>
      </w:pPr>
    </w:p>
    <w:p w14:paraId="00000029"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Approved verifiers</w:t>
      </w:r>
      <w:r>
        <w:rPr>
          <w:rFonts w:ascii="Calibri" w:eastAsia="Calibri" w:hAnsi="Calibri" w:cs="Calibri"/>
          <w:b/>
          <w:color w:val="000000"/>
        </w:rPr>
        <w:t xml:space="preserve">: </w:t>
      </w:r>
      <w:r>
        <w:rPr>
          <w:rFonts w:ascii="Calibri" w:eastAsia="Calibri" w:hAnsi="Calibri" w:cs="Calibri"/>
          <w:color w:val="000000"/>
        </w:rPr>
        <w:t>Organisations approved by the Climate Bonds Initiative to provide assurance services to issuers of Certified Climate Bonds. The duties of approved verifiers include providing assurance that the requirements of the Climate Bonds Standard (including these an</w:t>
      </w:r>
      <w:r>
        <w:rPr>
          <w:rFonts w:ascii="Calibri" w:eastAsia="Calibri" w:hAnsi="Calibri" w:cs="Calibri"/>
          <w:color w:val="000000"/>
        </w:rPr>
        <w:t>d other sector specific Criteria) are met.</w:t>
      </w:r>
    </w:p>
    <w:p w14:paraId="0000002A" w14:textId="77777777" w:rsidR="001E40A1" w:rsidRDefault="001E40A1">
      <w:pPr>
        <w:pBdr>
          <w:top w:val="nil"/>
          <w:left w:val="nil"/>
          <w:bottom w:val="nil"/>
          <w:right w:val="nil"/>
          <w:between w:val="nil"/>
        </w:pBdr>
        <w:jc w:val="both"/>
        <w:rPr>
          <w:rFonts w:ascii="Calibri" w:eastAsia="Calibri" w:hAnsi="Calibri" w:cs="Calibri"/>
          <w:b/>
          <w:color w:val="000000"/>
        </w:rPr>
      </w:pPr>
    </w:p>
    <w:p w14:paraId="0000002B"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Climate Bonds Initiative (CBI):</w:t>
      </w:r>
      <w:r>
        <w:rPr>
          <w:rFonts w:ascii="Calibri" w:eastAsia="Calibri" w:hAnsi="Calibri" w:cs="Calibri"/>
          <w:color w:val="000000"/>
        </w:rPr>
        <w:t xml:space="preserve"> An investor-focused not-for-profit organisation, promoting large-scale investments that will deliver a global low carbon and climate resilient economy. The Initiative seeks to deve</w:t>
      </w:r>
      <w:r>
        <w:rPr>
          <w:rFonts w:ascii="Calibri" w:eastAsia="Calibri" w:hAnsi="Calibri" w:cs="Calibri"/>
          <w:color w:val="000000"/>
        </w:rPr>
        <w:t>lop mechanisms to better align the interests of investors, industry and government so as to catalyse investments at a speed and scale sufficient to avoid dangerous climate change.</w:t>
      </w:r>
    </w:p>
    <w:p w14:paraId="0000002C" w14:textId="77777777" w:rsidR="001E40A1" w:rsidRDefault="001E40A1">
      <w:pPr>
        <w:pBdr>
          <w:top w:val="nil"/>
          <w:left w:val="nil"/>
          <w:bottom w:val="nil"/>
          <w:right w:val="nil"/>
          <w:between w:val="nil"/>
        </w:pBdr>
        <w:jc w:val="both"/>
        <w:rPr>
          <w:rFonts w:ascii="Calibri" w:eastAsia="Calibri" w:hAnsi="Calibri" w:cs="Calibri"/>
          <w:color w:val="000000"/>
        </w:rPr>
      </w:pPr>
    </w:p>
    <w:p w14:paraId="0000002D"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Climate Bond:</w:t>
      </w:r>
      <w:r>
        <w:rPr>
          <w:rFonts w:ascii="Calibri" w:eastAsia="Calibri" w:hAnsi="Calibri" w:cs="Calibri"/>
          <w:color w:val="000000"/>
        </w:rPr>
        <w:t xml:space="preserve"> A Climate Bond is a bond used to finance – or re-finance - pr</w:t>
      </w:r>
      <w:r>
        <w:rPr>
          <w:rFonts w:ascii="Calibri" w:eastAsia="Calibri" w:hAnsi="Calibri" w:cs="Calibri"/>
          <w:color w:val="000000"/>
        </w:rPr>
        <w:t xml:space="preserve">ojects needed to address climate change. They range from wind farms and hydropower plants, to rail transport and building sea walls in cities threatened by rising sea levels. Only a small portion of these bonds have been labelled as green or climate bonds </w:t>
      </w:r>
      <w:r>
        <w:rPr>
          <w:rFonts w:ascii="Calibri" w:eastAsia="Calibri" w:hAnsi="Calibri" w:cs="Calibri"/>
          <w:color w:val="000000"/>
        </w:rPr>
        <w:t xml:space="preserve">by their issuers. </w:t>
      </w:r>
    </w:p>
    <w:p w14:paraId="0000002E" w14:textId="77777777" w:rsidR="001E40A1" w:rsidRDefault="001E40A1">
      <w:pPr>
        <w:pBdr>
          <w:top w:val="nil"/>
          <w:left w:val="nil"/>
          <w:bottom w:val="nil"/>
          <w:right w:val="nil"/>
          <w:between w:val="nil"/>
        </w:pBdr>
        <w:jc w:val="both"/>
        <w:rPr>
          <w:rFonts w:ascii="Calibri" w:eastAsia="Calibri" w:hAnsi="Calibri" w:cs="Calibri"/>
          <w:color w:val="000000"/>
        </w:rPr>
      </w:pPr>
    </w:p>
    <w:p w14:paraId="0000002F"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Certified Climate Bond:</w:t>
      </w:r>
      <w:r>
        <w:rPr>
          <w:rFonts w:ascii="Calibri" w:eastAsia="Calibri" w:hAnsi="Calibri" w:cs="Calibri"/>
          <w:color w:val="000000"/>
        </w:rPr>
        <w:t xml:space="preserve"> A Climate Bond that is certified by the Climate Bonds Standard Board as meeting the requirements of the Climate Bonds Standard, as attested through independent verification.</w:t>
      </w:r>
    </w:p>
    <w:p w14:paraId="00000030" w14:textId="77777777" w:rsidR="001E40A1" w:rsidRDefault="001E40A1">
      <w:pPr>
        <w:pBdr>
          <w:top w:val="nil"/>
          <w:left w:val="nil"/>
          <w:bottom w:val="nil"/>
          <w:right w:val="nil"/>
          <w:between w:val="nil"/>
        </w:pBdr>
        <w:jc w:val="both"/>
        <w:rPr>
          <w:rFonts w:ascii="Calibri" w:eastAsia="Calibri" w:hAnsi="Calibri" w:cs="Calibri"/>
          <w:color w:val="000000"/>
        </w:rPr>
      </w:pPr>
    </w:p>
    <w:p w14:paraId="00000031"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Climate Bonds Standard (CBS):</w:t>
      </w:r>
      <w:r>
        <w:rPr>
          <w:rFonts w:ascii="Calibri" w:eastAsia="Calibri" w:hAnsi="Calibri" w:cs="Calibri"/>
          <w:color w:val="000000"/>
        </w:rPr>
        <w:t xml:space="preserve"> A scree</w:t>
      </w:r>
      <w:r>
        <w:rPr>
          <w:rFonts w:ascii="Calibri" w:eastAsia="Calibri" w:hAnsi="Calibri" w:cs="Calibri"/>
          <w:color w:val="000000"/>
        </w:rPr>
        <w:t>ning tool for investors and governments that allows them to identify green bonds where they can be confident that the funds are being used to deliver climate change solutions. This may be through climate mitigation impact and/ or climate adaptation or resi</w:t>
      </w:r>
      <w:r>
        <w:rPr>
          <w:rFonts w:ascii="Calibri" w:eastAsia="Calibri" w:hAnsi="Calibri" w:cs="Calibri"/>
          <w:color w:val="000000"/>
        </w:rPr>
        <w:t>lience. The CBS is made up of two parts: the parent standard (Climate Bonds Standard v.3) and a suite of sector specific eligibility Criteria. The parent standard covers the certification process and pre- and post-issuance requirements for all certified bo</w:t>
      </w:r>
      <w:r>
        <w:rPr>
          <w:rFonts w:ascii="Calibri" w:eastAsia="Calibri" w:hAnsi="Calibri" w:cs="Calibri"/>
          <w:color w:val="000000"/>
        </w:rPr>
        <w:t>nds, regardless of the nature of the capital projects. The Sector Criteria detail specific requirements for assets identified as falling under that specific sector. The latest version of the CBS is published on the Climate Bonds Initiative website</w:t>
      </w:r>
    </w:p>
    <w:p w14:paraId="00000032" w14:textId="77777777" w:rsidR="001E40A1" w:rsidRDefault="007A0446">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 </w:t>
      </w:r>
    </w:p>
    <w:p w14:paraId="00000033"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Climate Bonds Standard Board (CBSB):</w:t>
      </w:r>
      <w:r>
        <w:rPr>
          <w:rFonts w:ascii="Calibri" w:eastAsia="Calibri" w:hAnsi="Calibri" w:cs="Calibri"/>
          <w:color w:val="000000"/>
        </w:rPr>
        <w:t xml:space="preserve"> A board of independent members that collectively represents $34 trillion of assets under management. The CBSB is responsible for approving i) Revisions to the Climate Bonds Standard, including the adoption of additional</w:t>
      </w:r>
      <w:r>
        <w:rPr>
          <w:rFonts w:ascii="Calibri" w:eastAsia="Calibri" w:hAnsi="Calibri" w:cs="Calibri"/>
          <w:color w:val="000000"/>
        </w:rPr>
        <w:t xml:space="preserve"> sector Criteria, ii) Approved verifiers, and iii) Applications for Certification of a bond under the Climate Bonds Standard. The CBSB is constituted, appointed and supported in line with the governance arrangements and processes as published on the Climat</w:t>
      </w:r>
      <w:r>
        <w:rPr>
          <w:rFonts w:ascii="Calibri" w:eastAsia="Calibri" w:hAnsi="Calibri" w:cs="Calibri"/>
          <w:color w:val="000000"/>
        </w:rPr>
        <w:t xml:space="preserve">e Bonds Initiative website. </w:t>
      </w:r>
    </w:p>
    <w:p w14:paraId="00000034" w14:textId="77777777" w:rsidR="001E40A1" w:rsidRDefault="001E40A1">
      <w:pPr>
        <w:pBdr>
          <w:top w:val="nil"/>
          <w:left w:val="nil"/>
          <w:bottom w:val="nil"/>
          <w:right w:val="nil"/>
          <w:between w:val="nil"/>
        </w:pBdr>
        <w:jc w:val="both"/>
        <w:rPr>
          <w:rFonts w:ascii="Calibri" w:eastAsia="Calibri" w:hAnsi="Calibri" w:cs="Calibri"/>
          <w:color w:val="000000"/>
        </w:rPr>
      </w:pPr>
    </w:p>
    <w:p w14:paraId="00000035"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Climate Bond Certification:</w:t>
      </w:r>
      <w:r>
        <w:rPr>
          <w:rFonts w:ascii="Calibri" w:eastAsia="Calibri" w:hAnsi="Calibri" w:cs="Calibri"/>
          <w:color w:val="000000"/>
        </w:rPr>
        <w:t xml:space="preserve"> allows the issuer to use the Climate Bond Certification Mark in relation to that bond. Climate Bond Certification is provided once the independent Climate Bonds Standard Board is satisfied the bond </w:t>
      </w:r>
      <w:r>
        <w:rPr>
          <w:rFonts w:ascii="Calibri" w:eastAsia="Calibri" w:hAnsi="Calibri" w:cs="Calibri"/>
          <w:color w:val="000000"/>
        </w:rPr>
        <w:t xml:space="preserve">conforms with the Climate Bonds Standard. </w:t>
      </w:r>
    </w:p>
    <w:p w14:paraId="00000036" w14:textId="77777777" w:rsidR="001E40A1" w:rsidRDefault="001E40A1">
      <w:pPr>
        <w:pBdr>
          <w:top w:val="nil"/>
          <w:left w:val="nil"/>
          <w:bottom w:val="nil"/>
          <w:right w:val="nil"/>
          <w:between w:val="nil"/>
        </w:pBdr>
        <w:jc w:val="both"/>
        <w:rPr>
          <w:rFonts w:ascii="Calibri" w:eastAsia="Calibri" w:hAnsi="Calibri" w:cs="Calibri"/>
          <w:color w:val="000000"/>
        </w:rPr>
      </w:pPr>
    </w:p>
    <w:p w14:paraId="00000037"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Green Bond:</w:t>
      </w:r>
      <w:r>
        <w:rPr>
          <w:rFonts w:ascii="Calibri" w:eastAsia="Calibri" w:hAnsi="Calibri" w:cs="Calibri"/>
          <w:color w:val="000000"/>
        </w:rPr>
        <w:t xml:space="preserve"> A Green Bond is where proceeds are allocated to environmental projects. The term generally refers to bonds that have been marketed as “Green”. In theory, Green Bonds proceeds could be used for a wide </w:t>
      </w:r>
      <w:r>
        <w:rPr>
          <w:rFonts w:ascii="Calibri" w:eastAsia="Calibri" w:hAnsi="Calibri" w:cs="Calibri"/>
          <w:color w:val="000000"/>
        </w:rPr>
        <w:t>variety of environmental projects, but in practice they have mostly been the same as Climate Bonds, with proceeds going to climate change projects.</w:t>
      </w:r>
    </w:p>
    <w:p w14:paraId="00000038" w14:textId="77777777" w:rsidR="001E40A1" w:rsidRDefault="001E40A1">
      <w:pPr>
        <w:pBdr>
          <w:top w:val="nil"/>
          <w:left w:val="nil"/>
          <w:bottom w:val="nil"/>
          <w:right w:val="nil"/>
          <w:between w:val="nil"/>
        </w:pBdr>
        <w:jc w:val="both"/>
        <w:rPr>
          <w:rFonts w:ascii="Calibri" w:eastAsia="Calibri" w:hAnsi="Calibri" w:cs="Calibri"/>
          <w:color w:val="000000"/>
        </w:rPr>
      </w:pPr>
    </w:p>
    <w:p w14:paraId="00000039"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Technical Working Group (TWG):</w:t>
      </w:r>
      <w:r>
        <w:rPr>
          <w:rFonts w:ascii="Calibri" w:eastAsia="Calibri" w:hAnsi="Calibri" w:cs="Calibri"/>
          <w:color w:val="000000"/>
        </w:rPr>
        <w:t xml:space="preserve"> A group of key experts from academia, international agencies, industry and N</w:t>
      </w:r>
      <w:r>
        <w:rPr>
          <w:rFonts w:ascii="Calibri" w:eastAsia="Calibri" w:hAnsi="Calibri" w:cs="Calibri"/>
          <w:color w:val="000000"/>
        </w:rPr>
        <w:t>GOs convened by the Climate Bonds Initiative. The TWG develops the Sector Criteria - detailed technical criteria for the eligibility of projects and assets as well as guidance on the tracking of eligibility status during the term of the bond. Their draft r</w:t>
      </w:r>
      <w:r>
        <w:rPr>
          <w:rFonts w:ascii="Calibri" w:eastAsia="Calibri" w:hAnsi="Calibri" w:cs="Calibri"/>
          <w:color w:val="000000"/>
        </w:rPr>
        <w:t>ecommendations are refined through engagement with finance industry experts in convened Industry Working Groups and through public consultation. Final approval of Sector Criteria is given by the CBSB.</w:t>
      </w:r>
    </w:p>
    <w:p w14:paraId="0000003A" w14:textId="77777777" w:rsidR="001E40A1" w:rsidRDefault="001E40A1">
      <w:pPr>
        <w:pBdr>
          <w:top w:val="nil"/>
          <w:left w:val="nil"/>
          <w:bottom w:val="nil"/>
          <w:right w:val="nil"/>
          <w:between w:val="nil"/>
        </w:pBdr>
        <w:jc w:val="both"/>
        <w:rPr>
          <w:rFonts w:ascii="Calibri" w:eastAsia="Calibri" w:hAnsi="Calibri" w:cs="Calibri"/>
          <w:color w:val="000000"/>
        </w:rPr>
      </w:pPr>
    </w:p>
    <w:p w14:paraId="0000003B" w14:textId="77777777" w:rsidR="001E40A1" w:rsidRDefault="007A0446">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Industry Working Group (IWG):</w:t>
      </w:r>
      <w:r>
        <w:rPr>
          <w:rFonts w:ascii="Calibri" w:eastAsia="Calibri" w:hAnsi="Calibri" w:cs="Calibri"/>
          <w:color w:val="000000"/>
        </w:rPr>
        <w:t xml:space="preserve"> A group of key organisat</w:t>
      </w:r>
      <w:r>
        <w:rPr>
          <w:rFonts w:ascii="Calibri" w:eastAsia="Calibri" w:hAnsi="Calibri" w:cs="Calibri"/>
          <w:color w:val="000000"/>
        </w:rPr>
        <w:t>ions that are potential issuers, verifiers and investors convened by the Climate Bonds Initiative. The IWG provides feedback on the draft sector Criteria developed by the TWG before they are released for public consultation</w:t>
      </w:r>
    </w:p>
    <w:p w14:paraId="0000003C" w14:textId="77777777" w:rsidR="001E40A1" w:rsidRDefault="007A0446">
      <w:pPr>
        <w:rPr>
          <w:rFonts w:ascii="Calibri" w:eastAsia="Calibri" w:hAnsi="Calibri" w:cs="Calibri"/>
          <w:color w:val="000000"/>
        </w:rPr>
      </w:pPr>
      <w:r>
        <w:rPr>
          <w:rFonts w:ascii="Calibri" w:eastAsia="Calibri" w:hAnsi="Calibri" w:cs="Calibri"/>
          <w:b/>
        </w:rPr>
        <w:lastRenderedPageBreak/>
        <w:br/>
      </w:r>
    </w:p>
    <w:p w14:paraId="0000003D" w14:textId="77777777" w:rsidR="001E40A1" w:rsidRDefault="001E40A1">
      <w:pPr>
        <w:rPr>
          <w:rFonts w:ascii="Calibri" w:eastAsia="Calibri" w:hAnsi="Calibri" w:cs="Calibri"/>
          <w:b/>
        </w:rPr>
      </w:pPr>
    </w:p>
    <w:p w14:paraId="0000003E"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b/>
          <w:i/>
          <w:smallCaps/>
          <w:color w:val="000000"/>
        </w:rPr>
      </w:pPr>
      <w:r>
        <w:rPr>
          <w:rFonts w:ascii="Calibri" w:eastAsia="Calibri" w:hAnsi="Calibri" w:cs="Calibri"/>
          <w:b/>
          <w:i/>
          <w:smallCaps/>
          <w:color w:val="2F5496"/>
          <w:sz w:val="28"/>
          <w:szCs w:val="28"/>
        </w:rPr>
        <w:t>Table of Contents</w:t>
      </w:r>
      <w:r>
        <w:rPr>
          <w:rFonts w:ascii="Calibri" w:eastAsia="Calibri" w:hAnsi="Calibri" w:cs="Calibri"/>
          <w:b/>
          <w:i/>
          <w:smallCaps/>
          <w:color w:val="2F5496"/>
          <w:sz w:val="28"/>
          <w:szCs w:val="28"/>
        </w:rPr>
        <w:br/>
      </w:r>
    </w:p>
    <w:sdt>
      <w:sdtPr>
        <w:id w:val="-861282317"/>
        <w:docPartObj>
          <w:docPartGallery w:val="Table of Contents"/>
          <w:docPartUnique/>
        </w:docPartObj>
      </w:sdtPr>
      <w:sdtEndPr/>
      <w:sdtContent>
        <w:p w14:paraId="0000003F"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r>
            <w:fldChar w:fldCharType="begin"/>
          </w:r>
          <w:r>
            <w:instrText xml:space="preserve"> TOC \h \u \z </w:instrText>
          </w:r>
          <w:r>
            <w:fldChar w:fldCharType="separate"/>
          </w:r>
          <w:hyperlink w:anchor="_heading=h.30j0zll">
            <w:r>
              <w:rPr>
                <w:rFonts w:ascii="Calibri" w:eastAsia="Calibri" w:hAnsi="Calibri" w:cs="Calibri"/>
                <w:b/>
                <w:smallCaps/>
                <w:color w:val="000000"/>
              </w:rPr>
              <w:t>Definitions</w:t>
            </w:r>
            <w:r>
              <w:rPr>
                <w:rFonts w:ascii="Calibri" w:eastAsia="Calibri" w:hAnsi="Calibri" w:cs="Calibri"/>
                <w:b/>
                <w:smallCaps/>
                <w:color w:val="000000"/>
              </w:rPr>
              <w:tab/>
              <w:t>1</w:t>
            </w:r>
          </w:hyperlink>
        </w:p>
        <w:p w14:paraId="00000040" w14:textId="77777777" w:rsidR="001E40A1" w:rsidRDefault="007A0446">
          <w:pPr>
            <w:pBdr>
              <w:top w:val="nil"/>
              <w:left w:val="nil"/>
              <w:bottom w:val="nil"/>
              <w:right w:val="nil"/>
              <w:between w:val="nil"/>
            </w:pBdr>
            <w:tabs>
              <w:tab w:val="left" w:pos="400"/>
              <w:tab w:val="right" w:pos="9912"/>
            </w:tabs>
            <w:spacing w:before="120" w:after="120"/>
            <w:rPr>
              <w:rFonts w:ascii="Calibri" w:eastAsia="Calibri" w:hAnsi="Calibri" w:cs="Calibri"/>
              <w:color w:val="000000"/>
              <w:sz w:val="24"/>
              <w:szCs w:val="24"/>
            </w:rPr>
          </w:pPr>
          <w:hyperlink w:anchor="_heading=h.1fob9te">
            <w:r>
              <w:rPr>
                <w:rFonts w:ascii="Calibri" w:eastAsia="Calibri" w:hAnsi="Calibri" w:cs="Calibri"/>
                <w:b/>
                <w:smallCaps/>
                <w:color w:val="000000"/>
              </w:rPr>
              <w:t>1.</w:t>
            </w:r>
          </w:hyperlink>
          <w:hyperlink w:anchor="_heading=h.1fob9te">
            <w:r>
              <w:rPr>
                <w:rFonts w:ascii="Calibri" w:eastAsia="Calibri" w:hAnsi="Calibri" w:cs="Calibri"/>
                <w:color w:val="000000"/>
                <w:sz w:val="24"/>
                <w:szCs w:val="24"/>
              </w:rPr>
              <w:tab/>
            </w:r>
          </w:hyperlink>
          <w:r>
            <w:fldChar w:fldCharType="begin"/>
          </w:r>
          <w:r>
            <w:instrText xml:space="preserve"> PAGEREF _heading=h.1fob9te \h </w:instrText>
          </w:r>
          <w:r>
            <w:fldChar w:fldCharType="separate"/>
          </w:r>
          <w:r>
            <w:rPr>
              <w:rFonts w:ascii="Calibri" w:eastAsia="Calibri" w:hAnsi="Calibri" w:cs="Calibri"/>
              <w:b/>
              <w:smallCaps/>
              <w:color w:val="000000"/>
            </w:rPr>
            <w:t>Introduction</w:t>
          </w:r>
          <w:r>
            <w:rPr>
              <w:rFonts w:ascii="Calibri" w:eastAsia="Calibri" w:hAnsi="Calibri" w:cs="Calibri"/>
              <w:b/>
              <w:smallCaps/>
              <w:color w:val="000000"/>
            </w:rPr>
            <w:tab/>
            <w:t>3</w:t>
          </w:r>
          <w:r>
            <w:fldChar w:fldCharType="end"/>
          </w:r>
        </w:p>
        <w:p w14:paraId="00000041"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3znysh7">
            <w:r>
              <w:rPr>
                <w:rFonts w:ascii="Calibri" w:eastAsia="Calibri" w:hAnsi="Calibri" w:cs="Calibri"/>
                <w:smallCaps/>
                <w:color w:val="000000"/>
              </w:rPr>
              <w:t>1.1</w:t>
            </w:r>
          </w:hyperlink>
          <w:hyperlink w:anchor="_heading=h.3znysh7">
            <w:r>
              <w:rPr>
                <w:rFonts w:ascii="Calibri" w:eastAsia="Calibri" w:hAnsi="Calibri" w:cs="Calibri"/>
                <w:color w:val="000000"/>
                <w:sz w:val="24"/>
                <w:szCs w:val="24"/>
              </w:rPr>
              <w:tab/>
            </w:r>
          </w:hyperlink>
          <w:r>
            <w:fldChar w:fldCharType="begin"/>
          </w:r>
          <w:r>
            <w:instrText xml:space="preserve"> PAGEREF _heading=h.3znysh7 \h </w:instrText>
          </w:r>
          <w:r>
            <w:fldChar w:fldCharType="separate"/>
          </w:r>
          <w:r>
            <w:rPr>
              <w:rFonts w:ascii="Calibri" w:eastAsia="Calibri" w:hAnsi="Calibri" w:cs="Calibri"/>
              <w:smallCaps/>
              <w:color w:val="000000"/>
            </w:rPr>
            <w:t>Overview</w:t>
          </w:r>
          <w:r>
            <w:rPr>
              <w:rFonts w:ascii="Calibri" w:eastAsia="Calibri" w:hAnsi="Calibri" w:cs="Calibri"/>
              <w:smallCaps/>
              <w:color w:val="000000"/>
            </w:rPr>
            <w:tab/>
            <w:t>3</w:t>
          </w:r>
          <w:r>
            <w:fldChar w:fldCharType="end"/>
          </w:r>
        </w:p>
        <w:p w14:paraId="00000042"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2et92p0">
            <w:r>
              <w:rPr>
                <w:rFonts w:ascii="Calibri" w:eastAsia="Calibri" w:hAnsi="Calibri" w:cs="Calibri"/>
                <w:smallCaps/>
                <w:color w:val="000000"/>
              </w:rPr>
              <w:t>1.2</w:t>
            </w:r>
          </w:hyperlink>
          <w:hyperlink w:anchor="_heading=h.2et92p0">
            <w:r>
              <w:rPr>
                <w:rFonts w:ascii="Calibri" w:eastAsia="Calibri" w:hAnsi="Calibri" w:cs="Calibri"/>
                <w:color w:val="000000"/>
                <w:sz w:val="24"/>
                <w:szCs w:val="24"/>
              </w:rPr>
              <w:tab/>
            </w:r>
          </w:hyperlink>
          <w:r>
            <w:fldChar w:fldCharType="begin"/>
          </w:r>
          <w:r>
            <w:instrText xml:space="preserve"> PAGEREF _heading=h.2et92p0 \h </w:instrText>
          </w:r>
          <w:r>
            <w:fldChar w:fldCharType="separate"/>
          </w:r>
          <w:r>
            <w:rPr>
              <w:rFonts w:ascii="Calibri" w:eastAsia="Calibri" w:hAnsi="Calibri" w:cs="Calibri"/>
              <w:smallCaps/>
              <w:color w:val="000000"/>
            </w:rPr>
            <w:t>Funding needs of a low-carbon and climate resilient economy</w:t>
          </w:r>
          <w:r>
            <w:rPr>
              <w:rFonts w:ascii="Calibri" w:eastAsia="Calibri" w:hAnsi="Calibri" w:cs="Calibri"/>
              <w:smallCaps/>
              <w:color w:val="000000"/>
            </w:rPr>
            <w:tab/>
            <w:t>3</w:t>
          </w:r>
          <w:r>
            <w:fldChar w:fldCharType="end"/>
          </w:r>
        </w:p>
        <w:p w14:paraId="00000043"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tyjcwt">
            <w:r>
              <w:rPr>
                <w:rFonts w:ascii="Calibri" w:eastAsia="Calibri" w:hAnsi="Calibri" w:cs="Calibri"/>
                <w:smallCaps/>
                <w:color w:val="000000"/>
              </w:rPr>
              <w:t>1.3</w:t>
            </w:r>
          </w:hyperlink>
          <w:hyperlink w:anchor="_heading=h.tyjcwt">
            <w:r>
              <w:rPr>
                <w:rFonts w:ascii="Calibri" w:eastAsia="Calibri" w:hAnsi="Calibri" w:cs="Calibri"/>
                <w:color w:val="000000"/>
                <w:sz w:val="24"/>
                <w:szCs w:val="24"/>
              </w:rPr>
              <w:tab/>
            </w:r>
          </w:hyperlink>
          <w:r>
            <w:fldChar w:fldCharType="begin"/>
          </w:r>
          <w:r>
            <w:instrText xml:space="preserve"> PAGEREF _heading=h.tyjcwt \h </w:instrText>
          </w:r>
          <w:r>
            <w:fldChar w:fldCharType="separate"/>
          </w:r>
          <w:r>
            <w:rPr>
              <w:rFonts w:ascii="Calibri" w:eastAsia="Calibri" w:hAnsi="Calibri" w:cs="Calibri"/>
              <w:smallCaps/>
              <w:color w:val="000000"/>
            </w:rPr>
            <w:t>Role of bonds</w:t>
          </w:r>
          <w:r>
            <w:rPr>
              <w:rFonts w:ascii="Calibri" w:eastAsia="Calibri" w:hAnsi="Calibri" w:cs="Calibri"/>
              <w:smallCaps/>
              <w:color w:val="000000"/>
            </w:rPr>
            <w:tab/>
            <w:t>4</w:t>
          </w:r>
          <w:r>
            <w:fldChar w:fldCharType="end"/>
          </w:r>
        </w:p>
        <w:p w14:paraId="00000044"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3dy6vkm">
            <w:r>
              <w:rPr>
                <w:rFonts w:ascii="Calibri" w:eastAsia="Calibri" w:hAnsi="Calibri" w:cs="Calibri"/>
                <w:smallCaps/>
                <w:color w:val="000000"/>
              </w:rPr>
              <w:t>1.4</w:t>
            </w:r>
          </w:hyperlink>
          <w:hyperlink w:anchor="_heading=h.3dy6vkm">
            <w:r>
              <w:rPr>
                <w:rFonts w:ascii="Calibri" w:eastAsia="Calibri" w:hAnsi="Calibri" w:cs="Calibri"/>
                <w:color w:val="000000"/>
                <w:sz w:val="24"/>
                <w:szCs w:val="24"/>
              </w:rPr>
              <w:tab/>
            </w:r>
          </w:hyperlink>
          <w:r>
            <w:fldChar w:fldCharType="begin"/>
          </w:r>
          <w:r>
            <w:instrText xml:space="preserve"> PAGEREF _heading=h.3dy6vkm \h </w:instrText>
          </w:r>
          <w:r>
            <w:fldChar w:fldCharType="separate"/>
          </w:r>
          <w:r>
            <w:rPr>
              <w:rFonts w:ascii="Calibri" w:eastAsia="Calibri" w:hAnsi="Calibri" w:cs="Calibri"/>
              <w:smallCaps/>
              <w:color w:val="000000"/>
            </w:rPr>
            <w:t>Introduction to Climate Bonds Initiative and the Climate Bonds Standard</w:t>
          </w:r>
          <w:r>
            <w:rPr>
              <w:rFonts w:ascii="Calibri" w:eastAsia="Calibri" w:hAnsi="Calibri" w:cs="Calibri"/>
              <w:smallCaps/>
              <w:color w:val="000000"/>
            </w:rPr>
            <w:tab/>
            <w:t>4</w:t>
          </w:r>
          <w:r>
            <w:fldChar w:fldCharType="end"/>
          </w:r>
        </w:p>
        <w:p w14:paraId="00000045"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1t3h5sf">
            <w:r>
              <w:rPr>
                <w:rFonts w:ascii="Calibri" w:eastAsia="Calibri" w:hAnsi="Calibri" w:cs="Calibri"/>
                <w:smallCaps/>
                <w:color w:val="000000"/>
              </w:rPr>
              <w:t>1.5</w:t>
            </w:r>
          </w:hyperlink>
          <w:hyperlink w:anchor="_heading=h.1t3h5sf">
            <w:r>
              <w:rPr>
                <w:rFonts w:ascii="Calibri" w:eastAsia="Calibri" w:hAnsi="Calibri" w:cs="Calibri"/>
                <w:color w:val="000000"/>
                <w:sz w:val="24"/>
                <w:szCs w:val="24"/>
              </w:rPr>
              <w:tab/>
            </w:r>
          </w:hyperlink>
          <w:r>
            <w:fldChar w:fldCharType="begin"/>
          </w:r>
          <w:r>
            <w:instrText xml:space="preserve"> PAGEREF _heading=h.1t3h5sf \h </w:instrText>
          </w:r>
          <w:r>
            <w:fldChar w:fldCharType="separate"/>
          </w:r>
          <w:r>
            <w:rPr>
              <w:rFonts w:ascii="Calibri" w:eastAsia="Calibri" w:hAnsi="Calibri" w:cs="Calibri"/>
              <w:smallCaps/>
              <w:color w:val="000000"/>
            </w:rPr>
            <w:t>Process for Sector Criteria Development</w:t>
          </w:r>
          <w:r>
            <w:rPr>
              <w:rFonts w:ascii="Calibri" w:eastAsia="Calibri" w:hAnsi="Calibri" w:cs="Calibri"/>
              <w:smallCaps/>
              <w:color w:val="000000"/>
            </w:rPr>
            <w:tab/>
            <w:t>5</w:t>
          </w:r>
          <w:r>
            <w:fldChar w:fldCharType="end"/>
          </w:r>
        </w:p>
        <w:p w14:paraId="00000046"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4d34og8">
            <w:r>
              <w:rPr>
                <w:rFonts w:ascii="Calibri" w:eastAsia="Calibri" w:hAnsi="Calibri" w:cs="Calibri"/>
                <w:smallCaps/>
                <w:color w:val="000000"/>
              </w:rPr>
              <w:t>1.6</w:t>
            </w:r>
          </w:hyperlink>
          <w:hyperlink w:anchor="_heading=h.4d34og8">
            <w:r>
              <w:rPr>
                <w:rFonts w:ascii="Calibri" w:eastAsia="Calibri" w:hAnsi="Calibri" w:cs="Calibri"/>
                <w:color w:val="000000"/>
                <w:sz w:val="24"/>
                <w:szCs w:val="24"/>
              </w:rPr>
              <w:tab/>
            </w:r>
          </w:hyperlink>
          <w:r>
            <w:fldChar w:fldCharType="begin"/>
          </w:r>
          <w:r>
            <w:instrText xml:space="preserve"> PAGEREF _heading=h.4d34og8 \h </w:instrText>
          </w:r>
          <w:r>
            <w:fldChar w:fldCharType="separate"/>
          </w:r>
          <w:r>
            <w:rPr>
              <w:rFonts w:ascii="Calibri" w:eastAsia="Calibri" w:hAnsi="Calibri" w:cs="Calibri"/>
              <w:smallCaps/>
              <w:color w:val="000000"/>
            </w:rPr>
            <w:t>Revisions to these Criteria</w:t>
          </w:r>
          <w:r>
            <w:rPr>
              <w:rFonts w:ascii="Calibri" w:eastAsia="Calibri" w:hAnsi="Calibri" w:cs="Calibri"/>
              <w:smallCaps/>
              <w:color w:val="000000"/>
            </w:rPr>
            <w:tab/>
            <w:t>5</w:t>
          </w:r>
          <w:r>
            <w:fldChar w:fldCharType="end"/>
          </w:r>
        </w:p>
        <w:p w14:paraId="00000047" w14:textId="77777777" w:rsidR="001E40A1" w:rsidRDefault="007A0446">
          <w:pPr>
            <w:pBdr>
              <w:top w:val="nil"/>
              <w:left w:val="nil"/>
              <w:bottom w:val="nil"/>
              <w:right w:val="nil"/>
              <w:between w:val="nil"/>
            </w:pBdr>
            <w:tabs>
              <w:tab w:val="left" w:pos="400"/>
              <w:tab w:val="right" w:pos="9912"/>
            </w:tabs>
            <w:spacing w:before="120" w:after="120"/>
            <w:rPr>
              <w:rFonts w:ascii="Calibri" w:eastAsia="Calibri" w:hAnsi="Calibri" w:cs="Calibri"/>
              <w:color w:val="000000"/>
              <w:sz w:val="24"/>
              <w:szCs w:val="24"/>
            </w:rPr>
          </w:pPr>
          <w:hyperlink w:anchor="_heading=h.2s8eyo1">
            <w:r>
              <w:rPr>
                <w:rFonts w:ascii="Calibri" w:eastAsia="Calibri" w:hAnsi="Calibri" w:cs="Calibri"/>
                <w:b/>
                <w:smallCaps/>
                <w:color w:val="000000"/>
              </w:rPr>
              <w:t>2.</w:t>
            </w:r>
          </w:hyperlink>
          <w:hyperlink w:anchor="_heading=h.2s8eyo1">
            <w:r>
              <w:rPr>
                <w:rFonts w:ascii="Calibri" w:eastAsia="Calibri" w:hAnsi="Calibri" w:cs="Calibri"/>
                <w:color w:val="000000"/>
                <w:sz w:val="24"/>
                <w:szCs w:val="24"/>
              </w:rPr>
              <w:tab/>
            </w:r>
          </w:hyperlink>
          <w:r>
            <w:fldChar w:fldCharType="begin"/>
          </w:r>
          <w:r>
            <w:instrText xml:space="preserve"> PAGEREF _heading=h.2s8eyo1 \h </w:instrText>
          </w:r>
          <w:r>
            <w:fldChar w:fldCharType="separate"/>
          </w:r>
          <w:r>
            <w:rPr>
              <w:rFonts w:ascii="Calibri" w:eastAsia="Calibri" w:hAnsi="Calibri" w:cs="Calibri"/>
              <w:b/>
              <w:smallCaps/>
              <w:color w:val="000000"/>
            </w:rPr>
            <w:t>Sector Overview</w:t>
          </w:r>
          <w:r>
            <w:rPr>
              <w:rFonts w:ascii="Calibri" w:eastAsia="Calibri" w:hAnsi="Calibri" w:cs="Calibri"/>
              <w:b/>
              <w:smallCaps/>
              <w:color w:val="000000"/>
            </w:rPr>
            <w:tab/>
            <w:t>6</w:t>
          </w:r>
          <w:r>
            <w:fldChar w:fldCharType="end"/>
          </w:r>
        </w:p>
        <w:p w14:paraId="00000048"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17dp8vu">
            <w:r>
              <w:rPr>
                <w:rFonts w:ascii="Calibri" w:eastAsia="Calibri" w:hAnsi="Calibri" w:cs="Calibri"/>
                <w:smallCaps/>
                <w:color w:val="000000"/>
              </w:rPr>
              <w:t>2.1</w:t>
            </w:r>
          </w:hyperlink>
          <w:hyperlink w:anchor="_heading=h.17dp8vu">
            <w:r>
              <w:rPr>
                <w:rFonts w:ascii="Calibri" w:eastAsia="Calibri" w:hAnsi="Calibri" w:cs="Calibri"/>
                <w:color w:val="000000"/>
                <w:sz w:val="24"/>
                <w:szCs w:val="24"/>
              </w:rPr>
              <w:tab/>
            </w:r>
          </w:hyperlink>
          <w:r>
            <w:fldChar w:fldCharType="begin"/>
          </w:r>
          <w:r>
            <w:instrText xml:space="preserve"> P</w:instrText>
          </w:r>
          <w:r>
            <w:instrText xml:space="preserve">AGEREF _heading=h.17dp8vu \h </w:instrText>
          </w:r>
          <w:r>
            <w:fldChar w:fldCharType="separate"/>
          </w:r>
          <w:r>
            <w:rPr>
              <w:rFonts w:ascii="Calibri" w:eastAsia="Calibri" w:hAnsi="Calibri" w:cs="Calibri"/>
              <w:smallCaps/>
              <w:color w:val="000000"/>
            </w:rPr>
            <w:t>The Future of Shipping</w:t>
          </w:r>
          <w:r>
            <w:rPr>
              <w:rFonts w:ascii="Calibri" w:eastAsia="Calibri" w:hAnsi="Calibri" w:cs="Calibri"/>
              <w:smallCaps/>
              <w:color w:val="000000"/>
            </w:rPr>
            <w:tab/>
            <w:t>6</w:t>
          </w:r>
          <w:r>
            <w:fldChar w:fldCharType="end"/>
          </w:r>
        </w:p>
        <w:p w14:paraId="00000049"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3rdcrjn">
            <w:r>
              <w:rPr>
                <w:rFonts w:ascii="Calibri" w:eastAsia="Calibri" w:hAnsi="Calibri" w:cs="Calibri"/>
                <w:smallCaps/>
                <w:color w:val="000000"/>
              </w:rPr>
              <w:t>2.2</w:t>
            </w:r>
          </w:hyperlink>
          <w:hyperlink w:anchor="_heading=h.3rdcrjn">
            <w:r>
              <w:rPr>
                <w:rFonts w:ascii="Calibri" w:eastAsia="Calibri" w:hAnsi="Calibri" w:cs="Calibri"/>
                <w:color w:val="000000"/>
                <w:sz w:val="24"/>
                <w:szCs w:val="24"/>
              </w:rPr>
              <w:tab/>
            </w:r>
          </w:hyperlink>
          <w:r>
            <w:fldChar w:fldCharType="begin"/>
          </w:r>
          <w:r>
            <w:instrText xml:space="preserve"> PAGEREF _heading=h.3rdcrjn \h </w:instrText>
          </w:r>
          <w:r>
            <w:fldChar w:fldCharType="separate"/>
          </w:r>
          <w:r>
            <w:rPr>
              <w:rFonts w:ascii="Calibri" w:eastAsia="Calibri" w:hAnsi="Calibri" w:cs="Calibri"/>
              <w:smallCaps/>
              <w:color w:val="000000"/>
            </w:rPr>
            <w:t>Mitigation Potential and GHG Impacts of Shipping</w:t>
          </w:r>
          <w:r>
            <w:rPr>
              <w:rFonts w:ascii="Calibri" w:eastAsia="Calibri" w:hAnsi="Calibri" w:cs="Calibri"/>
              <w:smallCaps/>
              <w:color w:val="000000"/>
            </w:rPr>
            <w:tab/>
            <w:t>6</w:t>
          </w:r>
          <w:r>
            <w:fldChar w:fldCharType="end"/>
          </w:r>
        </w:p>
        <w:p w14:paraId="0000004A"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35nkun2">
            <w:r>
              <w:rPr>
                <w:rFonts w:ascii="Calibri" w:eastAsia="Calibri" w:hAnsi="Calibri" w:cs="Calibri"/>
                <w:smallCaps/>
                <w:color w:val="000000"/>
              </w:rPr>
              <w:t>2.3</w:t>
            </w:r>
          </w:hyperlink>
          <w:hyperlink w:anchor="_heading=h.35nkun2">
            <w:r>
              <w:rPr>
                <w:rFonts w:ascii="Calibri" w:eastAsia="Calibri" w:hAnsi="Calibri" w:cs="Calibri"/>
                <w:color w:val="000000"/>
                <w:sz w:val="24"/>
                <w:szCs w:val="24"/>
              </w:rPr>
              <w:tab/>
            </w:r>
          </w:hyperlink>
          <w:r>
            <w:fldChar w:fldCharType="begin"/>
          </w:r>
          <w:r>
            <w:instrText xml:space="preserve"> PAGEREF _headin</w:instrText>
          </w:r>
          <w:r>
            <w:instrText xml:space="preserve">g=h.35nkun2 \h </w:instrText>
          </w:r>
          <w:r>
            <w:fldChar w:fldCharType="separate"/>
          </w:r>
          <w:r>
            <w:rPr>
              <w:rFonts w:ascii="Calibri" w:eastAsia="Calibri" w:hAnsi="Calibri" w:cs="Calibri"/>
              <w:smallCaps/>
              <w:color w:val="000000"/>
            </w:rPr>
            <w:t>Impact of Climate Change on Shipping and Adaptation Strategies</w:t>
          </w:r>
          <w:r>
            <w:rPr>
              <w:rFonts w:ascii="Calibri" w:eastAsia="Calibri" w:hAnsi="Calibri" w:cs="Calibri"/>
              <w:smallCaps/>
              <w:color w:val="000000"/>
            </w:rPr>
            <w:tab/>
            <w:t>12</w:t>
          </w:r>
          <w:r>
            <w:fldChar w:fldCharType="end"/>
          </w:r>
        </w:p>
        <w:p w14:paraId="0000004B"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1ksv4uv">
            <w:r>
              <w:rPr>
                <w:rFonts w:ascii="Calibri" w:eastAsia="Calibri" w:hAnsi="Calibri" w:cs="Calibri"/>
                <w:smallCaps/>
                <w:color w:val="000000"/>
              </w:rPr>
              <w:t>2.4</w:t>
            </w:r>
          </w:hyperlink>
          <w:hyperlink w:anchor="_heading=h.1ksv4uv">
            <w:r>
              <w:rPr>
                <w:rFonts w:ascii="Calibri" w:eastAsia="Calibri" w:hAnsi="Calibri" w:cs="Calibri"/>
                <w:color w:val="000000"/>
                <w:sz w:val="24"/>
                <w:szCs w:val="24"/>
              </w:rPr>
              <w:tab/>
            </w:r>
          </w:hyperlink>
          <w:r>
            <w:fldChar w:fldCharType="begin"/>
          </w:r>
          <w:r>
            <w:instrText xml:space="preserve"> PAGEREF _headin</w:instrText>
          </w:r>
          <w:r>
            <w:instrText xml:space="preserve">g=h.1ksv4uv \h </w:instrText>
          </w:r>
          <w:r>
            <w:fldChar w:fldCharType="separate"/>
          </w:r>
          <w:r>
            <w:rPr>
              <w:rFonts w:ascii="Calibri" w:eastAsia="Calibri" w:hAnsi="Calibri" w:cs="Calibri"/>
              <w:smallCaps/>
              <w:color w:val="000000"/>
            </w:rPr>
            <w:t>Investment need/how is shipping currently financed?</w:t>
          </w:r>
          <w:r>
            <w:rPr>
              <w:rFonts w:ascii="Calibri" w:eastAsia="Calibri" w:hAnsi="Calibri" w:cs="Calibri"/>
              <w:smallCaps/>
              <w:color w:val="000000"/>
            </w:rPr>
            <w:tab/>
            <w:t>12</w:t>
          </w:r>
          <w:r>
            <w:fldChar w:fldCharType="end"/>
          </w:r>
        </w:p>
        <w:p w14:paraId="0000004C"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2jxsxqh">
            <w:r>
              <w:rPr>
                <w:rFonts w:ascii="Calibri" w:eastAsia="Calibri" w:hAnsi="Calibri" w:cs="Calibri"/>
                <w:smallCaps/>
                <w:color w:val="000000"/>
              </w:rPr>
              <w:t>2.5</w:t>
            </w:r>
          </w:hyperlink>
          <w:hyperlink w:anchor="_heading=h.2jxsxqh">
            <w:r>
              <w:rPr>
                <w:rFonts w:ascii="Calibri" w:eastAsia="Calibri" w:hAnsi="Calibri" w:cs="Calibri"/>
                <w:color w:val="000000"/>
                <w:sz w:val="24"/>
                <w:szCs w:val="24"/>
              </w:rPr>
              <w:tab/>
            </w:r>
          </w:hyperlink>
          <w:r>
            <w:fldChar w:fldCharType="begin"/>
          </w:r>
          <w:r>
            <w:instrText xml:space="preserve"> PAGEREF _heading=h.2jxsxqh </w:instrText>
          </w:r>
          <w:r>
            <w:instrText xml:space="preserve">\h </w:instrText>
          </w:r>
          <w:r>
            <w:fldChar w:fldCharType="separate"/>
          </w:r>
          <w:r>
            <w:rPr>
              <w:rFonts w:ascii="Calibri" w:eastAsia="Calibri" w:hAnsi="Calibri" w:cs="Calibri"/>
              <w:smallCaps/>
              <w:color w:val="000000"/>
            </w:rPr>
            <w:t>Bonds in the Sector</w:t>
          </w:r>
          <w:r>
            <w:rPr>
              <w:rFonts w:ascii="Calibri" w:eastAsia="Calibri" w:hAnsi="Calibri" w:cs="Calibri"/>
              <w:smallCaps/>
              <w:color w:val="000000"/>
            </w:rPr>
            <w:tab/>
            <w:t>14</w:t>
          </w:r>
          <w:r>
            <w:fldChar w:fldCharType="end"/>
          </w:r>
        </w:p>
        <w:p w14:paraId="0000004D" w14:textId="77777777" w:rsidR="001E40A1" w:rsidRDefault="007A0446">
          <w:pPr>
            <w:pBdr>
              <w:top w:val="nil"/>
              <w:left w:val="nil"/>
              <w:bottom w:val="nil"/>
              <w:right w:val="nil"/>
              <w:between w:val="nil"/>
            </w:pBdr>
            <w:tabs>
              <w:tab w:val="left" w:pos="400"/>
              <w:tab w:val="right" w:pos="9912"/>
            </w:tabs>
            <w:spacing w:before="120" w:after="120"/>
            <w:rPr>
              <w:rFonts w:ascii="Calibri" w:eastAsia="Calibri" w:hAnsi="Calibri" w:cs="Calibri"/>
              <w:color w:val="000000"/>
              <w:sz w:val="24"/>
              <w:szCs w:val="24"/>
            </w:rPr>
          </w:pPr>
          <w:hyperlink w:anchor="_heading=h.z337ya">
            <w:r>
              <w:rPr>
                <w:rFonts w:ascii="Calibri" w:eastAsia="Calibri" w:hAnsi="Calibri" w:cs="Calibri"/>
                <w:b/>
                <w:smallCaps/>
                <w:color w:val="000000"/>
              </w:rPr>
              <w:t>3.</w:t>
            </w:r>
          </w:hyperlink>
          <w:hyperlink w:anchor="_heading=h.z337ya">
            <w:r>
              <w:rPr>
                <w:rFonts w:ascii="Calibri" w:eastAsia="Calibri" w:hAnsi="Calibri" w:cs="Calibri"/>
                <w:color w:val="000000"/>
                <w:sz w:val="24"/>
                <w:szCs w:val="24"/>
              </w:rPr>
              <w:tab/>
            </w:r>
          </w:hyperlink>
          <w:r>
            <w:fldChar w:fldCharType="begin"/>
          </w:r>
          <w:r>
            <w:instrText xml:space="preserve"> PAGEREF _heading=h.z337ya \h </w:instrText>
          </w:r>
          <w:r>
            <w:fldChar w:fldCharType="separate"/>
          </w:r>
          <w:r>
            <w:rPr>
              <w:rFonts w:ascii="Calibri" w:eastAsia="Calibri" w:hAnsi="Calibri" w:cs="Calibri"/>
              <w:b/>
              <w:smallCaps/>
              <w:color w:val="000000"/>
            </w:rPr>
            <w:t>Principles and Boundaries of the Criteria</w:t>
          </w:r>
          <w:r>
            <w:rPr>
              <w:rFonts w:ascii="Calibri" w:eastAsia="Calibri" w:hAnsi="Calibri" w:cs="Calibri"/>
              <w:b/>
              <w:smallCaps/>
              <w:color w:val="000000"/>
            </w:rPr>
            <w:tab/>
            <w:t>15</w:t>
          </w:r>
          <w:r>
            <w:fldChar w:fldCharType="end"/>
          </w:r>
        </w:p>
        <w:p w14:paraId="0000004E"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3j2qqm3">
            <w:r>
              <w:rPr>
                <w:rFonts w:ascii="Calibri" w:eastAsia="Calibri" w:hAnsi="Calibri" w:cs="Calibri"/>
                <w:smallCaps/>
                <w:color w:val="000000"/>
              </w:rPr>
              <w:t>3.1</w:t>
            </w:r>
          </w:hyperlink>
          <w:hyperlink w:anchor="_heading=h.3j2qqm3">
            <w:r>
              <w:rPr>
                <w:rFonts w:ascii="Calibri" w:eastAsia="Calibri" w:hAnsi="Calibri" w:cs="Calibri"/>
                <w:color w:val="000000"/>
                <w:sz w:val="24"/>
                <w:szCs w:val="24"/>
              </w:rPr>
              <w:tab/>
            </w:r>
          </w:hyperlink>
          <w:r>
            <w:fldChar w:fldCharType="begin"/>
          </w:r>
          <w:r>
            <w:instrText xml:space="preserve"> PAGEREF _heading=h.3j2qqm3 \h </w:instrText>
          </w:r>
          <w:r>
            <w:fldChar w:fldCharType="separate"/>
          </w:r>
          <w:r>
            <w:rPr>
              <w:rFonts w:ascii="Calibri" w:eastAsia="Calibri" w:hAnsi="Calibri" w:cs="Calibri"/>
              <w:smallCaps/>
              <w:color w:val="000000"/>
            </w:rPr>
            <w:t>Guiding Principles</w:t>
          </w:r>
          <w:r>
            <w:rPr>
              <w:rFonts w:ascii="Calibri" w:eastAsia="Calibri" w:hAnsi="Calibri" w:cs="Calibri"/>
              <w:smallCaps/>
              <w:color w:val="000000"/>
            </w:rPr>
            <w:tab/>
            <w:t>15</w:t>
          </w:r>
          <w:r>
            <w:fldChar w:fldCharType="end"/>
          </w:r>
        </w:p>
        <w:p w14:paraId="0000004F"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4i7ojhp">
            <w:r>
              <w:rPr>
                <w:rFonts w:ascii="Calibri" w:eastAsia="Calibri" w:hAnsi="Calibri" w:cs="Calibri"/>
                <w:smallCaps/>
                <w:color w:val="000000"/>
              </w:rPr>
              <w:t>3.2</w:t>
            </w:r>
          </w:hyperlink>
          <w:hyperlink w:anchor="_heading=h.4i7ojhp">
            <w:r>
              <w:rPr>
                <w:rFonts w:ascii="Calibri" w:eastAsia="Calibri" w:hAnsi="Calibri" w:cs="Calibri"/>
                <w:color w:val="000000"/>
                <w:sz w:val="24"/>
                <w:szCs w:val="24"/>
              </w:rPr>
              <w:tab/>
            </w:r>
          </w:hyperlink>
          <w:r>
            <w:fldChar w:fldCharType="begin"/>
          </w:r>
          <w:r>
            <w:instrText xml:space="preserve"> PAGEREF _heading=h.4i7ojhp \h </w:instrText>
          </w:r>
          <w:r>
            <w:fldChar w:fldCharType="separate"/>
          </w:r>
          <w:r>
            <w:rPr>
              <w:rFonts w:ascii="Calibri" w:eastAsia="Calibri" w:hAnsi="Calibri" w:cs="Calibri"/>
              <w:smallCaps/>
              <w:color w:val="000000"/>
            </w:rPr>
            <w:t>Scope of the Criteria</w:t>
          </w:r>
          <w:r>
            <w:rPr>
              <w:rFonts w:ascii="Calibri" w:eastAsia="Calibri" w:hAnsi="Calibri" w:cs="Calibri"/>
              <w:smallCaps/>
              <w:color w:val="000000"/>
            </w:rPr>
            <w:tab/>
            <w:t>15</w:t>
          </w:r>
          <w:r>
            <w:fldChar w:fldCharType="end"/>
          </w:r>
        </w:p>
        <w:p w14:paraId="00000050"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2xcytpi">
            <w:r>
              <w:rPr>
                <w:rFonts w:ascii="Calibri" w:eastAsia="Calibri" w:hAnsi="Calibri" w:cs="Calibri"/>
                <w:smallCaps/>
                <w:color w:val="000000"/>
              </w:rPr>
              <w:t>3.3</w:t>
            </w:r>
          </w:hyperlink>
          <w:hyperlink w:anchor="_heading=h.2xcytpi">
            <w:r>
              <w:rPr>
                <w:rFonts w:ascii="Calibri" w:eastAsia="Calibri" w:hAnsi="Calibri" w:cs="Calibri"/>
                <w:color w:val="000000"/>
                <w:sz w:val="24"/>
                <w:szCs w:val="24"/>
              </w:rPr>
              <w:tab/>
            </w:r>
          </w:hyperlink>
          <w:r>
            <w:fldChar w:fldCharType="begin"/>
          </w:r>
          <w:r>
            <w:instrText xml:space="preserve"> PAGEREF _heading=h.2xcytpi \h </w:instrText>
          </w:r>
          <w:r>
            <w:fldChar w:fldCharType="separate"/>
          </w:r>
          <w:r>
            <w:rPr>
              <w:rFonts w:ascii="Calibri" w:eastAsia="Calibri" w:hAnsi="Calibri" w:cs="Calibri"/>
              <w:smallCaps/>
              <w:color w:val="000000"/>
            </w:rPr>
            <w:t>Examples of Use of Proceeds</w:t>
          </w:r>
          <w:r>
            <w:rPr>
              <w:rFonts w:ascii="Calibri" w:eastAsia="Calibri" w:hAnsi="Calibri" w:cs="Calibri"/>
              <w:smallCaps/>
              <w:color w:val="000000"/>
            </w:rPr>
            <w:tab/>
            <w:t>16</w:t>
          </w:r>
          <w:r>
            <w:fldChar w:fldCharType="end"/>
          </w:r>
        </w:p>
        <w:p w14:paraId="00000051"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2bn6wsx">
            <w:r>
              <w:rPr>
                <w:rFonts w:ascii="Calibri" w:eastAsia="Calibri" w:hAnsi="Calibri" w:cs="Calibri"/>
                <w:smallCaps/>
                <w:color w:val="000000"/>
              </w:rPr>
              <w:t>3.4</w:t>
            </w:r>
          </w:hyperlink>
          <w:hyperlink w:anchor="_heading=h.2bn6wsx">
            <w:r>
              <w:rPr>
                <w:rFonts w:ascii="Calibri" w:eastAsia="Calibri" w:hAnsi="Calibri" w:cs="Calibri"/>
                <w:color w:val="000000"/>
                <w:sz w:val="24"/>
                <w:szCs w:val="24"/>
              </w:rPr>
              <w:tab/>
            </w:r>
          </w:hyperlink>
          <w:r>
            <w:fldChar w:fldCharType="begin"/>
          </w:r>
          <w:r>
            <w:instrText xml:space="preserve"> PAGEREF _heading=h.2bn6wsx \h </w:instrText>
          </w:r>
          <w:r>
            <w:fldChar w:fldCharType="separate"/>
          </w:r>
          <w:r>
            <w:rPr>
              <w:rFonts w:ascii="Calibri" w:eastAsia="Calibri" w:hAnsi="Calibri" w:cs="Calibri"/>
              <w:smallCaps/>
              <w:color w:val="000000"/>
            </w:rPr>
            <w:t>Emissions out of Scope</w:t>
          </w:r>
          <w:r>
            <w:rPr>
              <w:rFonts w:ascii="Calibri" w:eastAsia="Calibri" w:hAnsi="Calibri" w:cs="Calibri"/>
              <w:smallCaps/>
              <w:color w:val="000000"/>
            </w:rPr>
            <w:tab/>
            <w:t>17</w:t>
          </w:r>
          <w:r>
            <w:fldChar w:fldCharType="end"/>
          </w:r>
        </w:p>
        <w:p w14:paraId="00000052" w14:textId="77777777" w:rsidR="001E40A1" w:rsidRDefault="007A0446">
          <w:pPr>
            <w:pBdr>
              <w:top w:val="nil"/>
              <w:left w:val="nil"/>
              <w:bottom w:val="nil"/>
              <w:right w:val="nil"/>
              <w:between w:val="nil"/>
            </w:pBdr>
            <w:tabs>
              <w:tab w:val="left" w:pos="400"/>
              <w:tab w:val="right" w:pos="9912"/>
            </w:tabs>
            <w:spacing w:before="120" w:after="120"/>
            <w:rPr>
              <w:rFonts w:ascii="Calibri" w:eastAsia="Calibri" w:hAnsi="Calibri" w:cs="Calibri"/>
              <w:color w:val="000000"/>
              <w:sz w:val="24"/>
              <w:szCs w:val="24"/>
            </w:rPr>
          </w:pPr>
          <w:hyperlink w:anchor="_heading=h.3as4poj">
            <w:r>
              <w:rPr>
                <w:rFonts w:ascii="Calibri" w:eastAsia="Calibri" w:hAnsi="Calibri" w:cs="Calibri"/>
                <w:b/>
                <w:smallCaps/>
                <w:color w:val="000000"/>
              </w:rPr>
              <w:t>4.</w:t>
            </w:r>
          </w:hyperlink>
          <w:hyperlink w:anchor="_heading=h.3as4poj">
            <w:r>
              <w:rPr>
                <w:rFonts w:ascii="Calibri" w:eastAsia="Calibri" w:hAnsi="Calibri" w:cs="Calibri"/>
                <w:color w:val="000000"/>
                <w:sz w:val="24"/>
                <w:szCs w:val="24"/>
              </w:rPr>
              <w:tab/>
            </w:r>
          </w:hyperlink>
          <w:r>
            <w:fldChar w:fldCharType="begin"/>
          </w:r>
          <w:r>
            <w:instrText xml:space="preserve"> PAGEREF _heading=h.3as4poj \h </w:instrText>
          </w:r>
          <w:r>
            <w:fldChar w:fldCharType="separate"/>
          </w:r>
          <w:r>
            <w:rPr>
              <w:rFonts w:ascii="Calibri" w:eastAsia="Calibri" w:hAnsi="Calibri" w:cs="Calibri"/>
              <w:b/>
              <w:smallCaps/>
              <w:color w:val="000000"/>
            </w:rPr>
            <w:t>Discussion and Eligibility Criteria for the Shipping Sector</w:t>
          </w:r>
          <w:r>
            <w:rPr>
              <w:rFonts w:ascii="Calibri" w:eastAsia="Calibri" w:hAnsi="Calibri" w:cs="Calibri"/>
              <w:b/>
              <w:smallCaps/>
              <w:color w:val="000000"/>
            </w:rPr>
            <w:tab/>
            <w:t>18</w:t>
          </w:r>
          <w:r>
            <w:fldChar w:fldCharType="end"/>
          </w:r>
        </w:p>
        <w:p w14:paraId="00000053"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1pxezwc">
            <w:r>
              <w:rPr>
                <w:rFonts w:ascii="Calibri" w:eastAsia="Calibri" w:hAnsi="Calibri" w:cs="Calibri"/>
                <w:smallCaps/>
                <w:color w:val="000000"/>
              </w:rPr>
              <w:t>4.1</w:t>
            </w:r>
          </w:hyperlink>
          <w:hyperlink w:anchor="_heading=h.1pxezwc">
            <w:r>
              <w:rPr>
                <w:rFonts w:ascii="Calibri" w:eastAsia="Calibri" w:hAnsi="Calibri" w:cs="Calibri"/>
                <w:color w:val="000000"/>
                <w:sz w:val="24"/>
                <w:szCs w:val="24"/>
              </w:rPr>
              <w:tab/>
            </w:r>
          </w:hyperlink>
          <w:r>
            <w:fldChar w:fldCharType="begin"/>
          </w:r>
          <w:r>
            <w:instrText xml:space="preserve"> PAGEREF _heading=h.1pxezwc \h </w:instrText>
          </w:r>
          <w:r>
            <w:fldChar w:fldCharType="separate"/>
          </w:r>
          <w:r>
            <w:rPr>
              <w:rFonts w:ascii="Calibri" w:eastAsia="Calibri" w:hAnsi="Calibri" w:cs="Calibri"/>
              <w:smallCaps/>
              <w:color w:val="000000"/>
            </w:rPr>
            <w:t>Overarching considerations and requirements for the Shipping Sector</w:t>
          </w:r>
          <w:r>
            <w:rPr>
              <w:rFonts w:ascii="Calibri" w:eastAsia="Calibri" w:hAnsi="Calibri" w:cs="Calibri"/>
              <w:smallCaps/>
              <w:color w:val="000000"/>
            </w:rPr>
            <w:tab/>
            <w:t>18</w:t>
          </w:r>
          <w:r>
            <w:fldChar w:fldCharType="end"/>
          </w:r>
        </w:p>
        <w:p w14:paraId="00000054"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147n2zr">
            <w:r>
              <w:rPr>
                <w:rFonts w:ascii="Calibri" w:eastAsia="Calibri" w:hAnsi="Calibri" w:cs="Calibri"/>
                <w:smallCaps/>
                <w:color w:val="000000"/>
              </w:rPr>
              <w:t>4.2</w:t>
            </w:r>
          </w:hyperlink>
          <w:hyperlink w:anchor="_heading=h.147n2zr">
            <w:r>
              <w:rPr>
                <w:rFonts w:ascii="Calibri" w:eastAsia="Calibri" w:hAnsi="Calibri" w:cs="Calibri"/>
                <w:color w:val="000000"/>
                <w:sz w:val="24"/>
                <w:szCs w:val="24"/>
              </w:rPr>
              <w:tab/>
            </w:r>
          </w:hyperlink>
          <w:r>
            <w:fldChar w:fldCharType="begin"/>
          </w:r>
          <w:r>
            <w:instrText xml:space="preserve"> PAGEREF _heading=h.147n2z</w:instrText>
          </w:r>
          <w:r>
            <w:instrText xml:space="preserve">r \h </w:instrText>
          </w:r>
          <w:r>
            <w:fldChar w:fldCharType="separate"/>
          </w:r>
          <w:r>
            <w:rPr>
              <w:rFonts w:ascii="Calibri" w:eastAsia="Calibri" w:hAnsi="Calibri" w:cs="Calibri"/>
              <w:smallCaps/>
              <w:color w:val="000000"/>
            </w:rPr>
            <w:t>Specification and justification of mitigation requirements for the Shipping Sector</w:t>
          </w:r>
          <w:r>
            <w:rPr>
              <w:rFonts w:ascii="Calibri" w:eastAsia="Calibri" w:hAnsi="Calibri" w:cs="Calibri"/>
              <w:smallCaps/>
              <w:color w:val="000000"/>
            </w:rPr>
            <w:tab/>
            <w:t>19</w:t>
          </w:r>
          <w:r>
            <w:fldChar w:fldCharType="end"/>
          </w:r>
        </w:p>
        <w:p w14:paraId="00000055" w14:textId="77777777" w:rsidR="001E40A1" w:rsidRDefault="007A0446">
          <w:pPr>
            <w:pBdr>
              <w:top w:val="nil"/>
              <w:left w:val="nil"/>
              <w:bottom w:val="nil"/>
              <w:right w:val="nil"/>
              <w:between w:val="nil"/>
            </w:pBdr>
            <w:tabs>
              <w:tab w:val="left" w:pos="800"/>
              <w:tab w:val="right" w:pos="9912"/>
            </w:tabs>
            <w:ind w:left="200"/>
            <w:rPr>
              <w:rFonts w:ascii="Calibri" w:eastAsia="Calibri" w:hAnsi="Calibri" w:cs="Calibri"/>
              <w:color w:val="000000"/>
              <w:sz w:val="24"/>
              <w:szCs w:val="24"/>
            </w:rPr>
          </w:pPr>
          <w:hyperlink w:anchor="_heading=h.1hmsyys">
            <w:r>
              <w:rPr>
                <w:rFonts w:ascii="Calibri" w:eastAsia="Calibri" w:hAnsi="Calibri" w:cs="Calibri"/>
                <w:smallCaps/>
                <w:color w:val="000000"/>
              </w:rPr>
              <w:t>4.3</w:t>
            </w:r>
          </w:hyperlink>
          <w:hyperlink w:anchor="_heading=h.1hmsyys">
            <w:r>
              <w:rPr>
                <w:rFonts w:ascii="Calibri" w:eastAsia="Calibri" w:hAnsi="Calibri" w:cs="Calibri"/>
                <w:color w:val="000000"/>
                <w:sz w:val="24"/>
                <w:szCs w:val="24"/>
              </w:rPr>
              <w:tab/>
            </w:r>
          </w:hyperlink>
          <w:r>
            <w:fldChar w:fldCharType="begin"/>
          </w:r>
          <w:r>
            <w:instrText xml:space="preserve"> PAGER</w:instrText>
          </w:r>
          <w:r>
            <w:instrText xml:space="preserve">EF _heading=h.1hmsyys \h </w:instrText>
          </w:r>
          <w:r>
            <w:fldChar w:fldCharType="separate"/>
          </w:r>
          <w:r>
            <w:rPr>
              <w:rFonts w:ascii="Calibri" w:eastAsia="Calibri" w:hAnsi="Calibri" w:cs="Calibri"/>
              <w:smallCaps/>
              <w:color w:val="000000"/>
            </w:rPr>
            <w:t>Criteria for assessing asset eligibility with respect to mitigation requirements</w:t>
          </w:r>
          <w:r>
            <w:rPr>
              <w:rFonts w:ascii="Calibri" w:eastAsia="Calibri" w:hAnsi="Calibri" w:cs="Calibri"/>
              <w:smallCaps/>
              <w:color w:val="000000"/>
            </w:rPr>
            <w:tab/>
            <w:t>21</w:t>
          </w:r>
          <w:r>
            <w:fldChar w:fldCharType="end"/>
          </w:r>
        </w:p>
        <w:p w14:paraId="00000056"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4f1mdlm">
            <w:r>
              <w:rPr>
                <w:rFonts w:ascii="Calibri" w:eastAsia="Calibri" w:hAnsi="Calibri" w:cs="Calibri"/>
                <w:b/>
                <w:smallCaps/>
                <w:color w:val="000000"/>
              </w:rPr>
              <w:t>5. Adaptation &amp; Resilience princi</w:t>
            </w:r>
            <w:r>
              <w:rPr>
                <w:rFonts w:ascii="Calibri" w:eastAsia="Calibri" w:hAnsi="Calibri" w:cs="Calibri"/>
                <w:b/>
                <w:smallCaps/>
                <w:color w:val="000000"/>
              </w:rPr>
              <w:t>ples</w:t>
            </w:r>
            <w:r>
              <w:rPr>
                <w:rFonts w:ascii="Calibri" w:eastAsia="Calibri" w:hAnsi="Calibri" w:cs="Calibri"/>
                <w:b/>
                <w:smallCaps/>
                <w:color w:val="000000"/>
              </w:rPr>
              <w:tab/>
              <w:t>25</w:t>
            </w:r>
          </w:hyperlink>
        </w:p>
        <w:p w14:paraId="00000057"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2u6wntf">
            <w:r>
              <w:rPr>
                <w:rFonts w:ascii="Calibri" w:eastAsia="Calibri" w:hAnsi="Calibri" w:cs="Calibri"/>
                <w:b/>
                <w:smallCaps/>
                <w:color w:val="000000"/>
              </w:rPr>
              <w:t>6. Summary of Criteria</w:t>
            </w:r>
            <w:r>
              <w:rPr>
                <w:rFonts w:ascii="Calibri" w:eastAsia="Calibri" w:hAnsi="Calibri" w:cs="Calibri"/>
                <w:b/>
                <w:smallCaps/>
                <w:color w:val="000000"/>
              </w:rPr>
              <w:tab/>
              <w:t>26</w:t>
            </w:r>
          </w:hyperlink>
        </w:p>
        <w:p w14:paraId="00000058"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37m2jsg">
            <w:r>
              <w:rPr>
                <w:rFonts w:ascii="Calibri" w:eastAsia="Calibri" w:hAnsi="Calibri" w:cs="Calibri"/>
                <w:b/>
                <w:smallCaps/>
                <w:color w:val="000000"/>
              </w:rPr>
              <w:t>Appendix 1: TWG and IWG members</w:t>
            </w:r>
            <w:r>
              <w:rPr>
                <w:rFonts w:ascii="Calibri" w:eastAsia="Calibri" w:hAnsi="Calibri" w:cs="Calibri"/>
                <w:b/>
                <w:smallCaps/>
                <w:color w:val="000000"/>
              </w:rPr>
              <w:tab/>
              <w:t>28</w:t>
            </w:r>
          </w:hyperlink>
        </w:p>
        <w:p w14:paraId="00000059"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46r0co2">
            <w:r>
              <w:rPr>
                <w:rFonts w:ascii="Calibri" w:eastAsia="Calibri" w:hAnsi="Calibri" w:cs="Calibri"/>
                <w:b/>
                <w:smallCaps/>
                <w:color w:val="000000"/>
              </w:rPr>
              <w:t>Appendix 2: Carbon Intensity Metrics</w:t>
            </w:r>
            <w:r>
              <w:rPr>
                <w:rFonts w:ascii="Calibri" w:eastAsia="Calibri" w:hAnsi="Calibri" w:cs="Calibri"/>
                <w:b/>
                <w:smallCaps/>
                <w:color w:val="000000"/>
              </w:rPr>
              <w:tab/>
              <w:t>29</w:t>
            </w:r>
          </w:hyperlink>
        </w:p>
        <w:p w14:paraId="0000005A"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2lwamvv">
            <w:r>
              <w:rPr>
                <w:rFonts w:ascii="Calibri" w:eastAsia="Calibri" w:hAnsi="Calibri" w:cs="Calibri"/>
                <w:b/>
                <w:smallCaps/>
                <w:color w:val="000000"/>
              </w:rPr>
              <w:t>Appendix 3: Decarbonisation Trajectories</w:t>
            </w:r>
            <w:r>
              <w:rPr>
                <w:rFonts w:ascii="Calibri" w:eastAsia="Calibri" w:hAnsi="Calibri" w:cs="Calibri"/>
                <w:b/>
                <w:smallCaps/>
                <w:color w:val="000000"/>
              </w:rPr>
              <w:tab/>
              <w:t>31</w:t>
            </w:r>
          </w:hyperlink>
        </w:p>
        <w:p w14:paraId="0000005B"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111kx3o">
            <w:r>
              <w:rPr>
                <w:rFonts w:ascii="Calibri" w:eastAsia="Calibri" w:hAnsi="Calibri" w:cs="Calibri"/>
                <w:b/>
                <w:smallCaps/>
                <w:color w:val="000000"/>
              </w:rPr>
              <w:t>Appendix 4: CBI Climate Resilience Principles</w:t>
            </w:r>
            <w:r>
              <w:rPr>
                <w:rFonts w:ascii="Calibri" w:eastAsia="Calibri" w:hAnsi="Calibri" w:cs="Calibri"/>
                <w:b/>
                <w:smallCaps/>
                <w:color w:val="000000"/>
              </w:rPr>
              <w:tab/>
              <w:t>37</w:t>
            </w:r>
          </w:hyperlink>
        </w:p>
        <w:p w14:paraId="0000005C" w14:textId="77777777" w:rsidR="001E40A1" w:rsidRDefault="007A0446">
          <w:pPr>
            <w:pBdr>
              <w:top w:val="nil"/>
              <w:left w:val="nil"/>
              <w:bottom w:val="nil"/>
              <w:right w:val="nil"/>
              <w:between w:val="nil"/>
            </w:pBdr>
            <w:tabs>
              <w:tab w:val="right" w:pos="9912"/>
            </w:tabs>
            <w:spacing w:before="120" w:after="120"/>
            <w:rPr>
              <w:rFonts w:ascii="Calibri" w:eastAsia="Calibri" w:hAnsi="Calibri" w:cs="Calibri"/>
              <w:color w:val="000000"/>
              <w:sz w:val="24"/>
              <w:szCs w:val="24"/>
            </w:rPr>
          </w:pPr>
          <w:hyperlink w:anchor="_heading=h.36ei31r">
            <w:r>
              <w:rPr>
                <w:rFonts w:ascii="Calibri" w:eastAsia="Calibri" w:hAnsi="Calibri" w:cs="Calibri"/>
                <w:b/>
                <w:smallCaps/>
                <w:color w:val="000000"/>
              </w:rPr>
              <w:t>Appendix 5: Summary of public consultation</w:t>
            </w:r>
            <w:r>
              <w:rPr>
                <w:rFonts w:ascii="Calibri" w:eastAsia="Calibri" w:hAnsi="Calibri" w:cs="Calibri"/>
                <w:b/>
                <w:smallCaps/>
                <w:color w:val="000000"/>
              </w:rPr>
              <w:tab/>
              <w:t>41</w:t>
            </w:r>
          </w:hyperlink>
        </w:p>
        <w:p w14:paraId="0000005D" w14:textId="77777777" w:rsidR="001E40A1" w:rsidRDefault="007A0446">
          <w:pPr>
            <w:rPr>
              <w:rFonts w:ascii="Calibri" w:eastAsia="Calibri" w:hAnsi="Calibri" w:cs="Calibri"/>
            </w:rPr>
          </w:pPr>
          <w:r>
            <w:fldChar w:fldCharType="end"/>
          </w:r>
        </w:p>
      </w:sdtContent>
    </w:sdt>
    <w:p w14:paraId="0000005E" w14:textId="77777777" w:rsidR="001E40A1" w:rsidRDefault="001E40A1">
      <w:pPr>
        <w:rPr>
          <w:rFonts w:ascii="Calibri" w:eastAsia="Calibri" w:hAnsi="Calibri" w:cs="Calibri"/>
        </w:rPr>
      </w:pPr>
    </w:p>
    <w:p w14:paraId="0000005F" w14:textId="77777777" w:rsidR="001E40A1" w:rsidRDefault="001E40A1">
      <w:pPr>
        <w:rPr>
          <w:rFonts w:ascii="Calibri" w:eastAsia="Calibri" w:hAnsi="Calibri" w:cs="Calibri"/>
        </w:rPr>
      </w:pPr>
    </w:p>
    <w:p w14:paraId="00000060" w14:textId="77777777" w:rsidR="001E40A1" w:rsidRDefault="001E40A1">
      <w:pPr>
        <w:rPr>
          <w:rFonts w:ascii="Calibri" w:eastAsia="Calibri" w:hAnsi="Calibri" w:cs="Calibri"/>
        </w:rPr>
      </w:pPr>
    </w:p>
    <w:p w14:paraId="00000061" w14:textId="77777777" w:rsidR="001E40A1" w:rsidRDefault="001E40A1">
      <w:pPr>
        <w:rPr>
          <w:rFonts w:ascii="Calibri" w:eastAsia="Calibri" w:hAnsi="Calibri" w:cs="Calibri"/>
        </w:rPr>
      </w:pPr>
    </w:p>
    <w:p w14:paraId="00000062" w14:textId="77777777" w:rsidR="001E40A1" w:rsidRDefault="001E40A1">
      <w:pPr>
        <w:rPr>
          <w:rFonts w:ascii="Calibri" w:eastAsia="Calibri" w:hAnsi="Calibri" w:cs="Calibri"/>
        </w:rPr>
      </w:pPr>
    </w:p>
    <w:p w14:paraId="00000063" w14:textId="77777777" w:rsidR="001E40A1" w:rsidRDefault="001E40A1">
      <w:pPr>
        <w:rPr>
          <w:rFonts w:ascii="Calibri" w:eastAsia="Calibri" w:hAnsi="Calibri" w:cs="Calibri"/>
        </w:rPr>
      </w:pPr>
    </w:p>
    <w:p w14:paraId="00000064" w14:textId="77777777" w:rsidR="001E40A1" w:rsidRDefault="001E40A1">
      <w:pPr>
        <w:rPr>
          <w:rFonts w:ascii="Calibri" w:eastAsia="Calibri" w:hAnsi="Calibri" w:cs="Calibri"/>
        </w:rPr>
      </w:pPr>
    </w:p>
    <w:p w14:paraId="00000065" w14:textId="77777777" w:rsidR="001E40A1" w:rsidRDefault="001E40A1">
      <w:pPr>
        <w:rPr>
          <w:rFonts w:ascii="Calibri" w:eastAsia="Calibri" w:hAnsi="Calibri" w:cs="Calibri"/>
        </w:rPr>
      </w:pPr>
    </w:p>
    <w:p w14:paraId="00000066" w14:textId="77777777" w:rsidR="001E40A1" w:rsidRDefault="001E40A1">
      <w:pPr>
        <w:rPr>
          <w:rFonts w:ascii="Calibri" w:eastAsia="Calibri" w:hAnsi="Calibri" w:cs="Calibri"/>
        </w:rPr>
      </w:pPr>
    </w:p>
    <w:p w14:paraId="00000067" w14:textId="77777777" w:rsidR="001E40A1" w:rsidRDefault="001E40A1">
      <w:pPr>
        <w:rPr>
          <w:rFonts w:ascii="Calibri" w:eastAsia="Calibri" w:hAnsi="Calibri" w:cs="Calibri"/>
        </w:rPr>
      </w:pPr>
    </w:p>
    <w:p w14:paraId="00000068" w14:textId="77777777" w:rsidR="001E40A1" w:rsidRDefault="007A0446">
      <w:pPr>
        <w:pStyle w:val="Heading1"/>
        <w:numPr>
          <w:ilvl w:val="0"/>
          <w:numId w:val="2"/>
        </w:numPr>
      </w:pPr>
      <w:bookmarkStart w:id="2" w:name="_heading=h.1fob9te" w:colFirst="0" w:colLast="0"/>
      <w:bookmarkEnd w:id="2"/>
      <w:r>
        <w:lastRenderedPageBreak/>
        <w:t>Introduction</w:t>
      </w:r>
    </w:p>
    <w:p w14:paraId="00000069" w14:textId="77777777" w:rsidR="001E40A1" w:rsidRDefault="001E40A1"/>
    <w:p w14:paraId="0000006A" w14:textId="77777777" w:rsidR="001E40A1" w:rsidRDefault="007A0446">
      <w:pPr>
        <w:pStyle w:val="Heading2"/>
        <w:numPr>
          <w:ilvl w:val="1"/>
          <w:numId w:val="10"/>
        </w:numPr>
        <w:rPr>
          <w:rFonts w:ascii="Calibri" w:eastAsia="Calibri" w:hAnsi="Calibri" w:cs="Calibri"/>
          <w:sz w:val="20"/>
          <w:szCs w:val="20"/>
        </w:rPr>
      </w:pPr>
      <w:bookmarkStart w:id="3" w:name="_heading=h.3znysh7" w:colFirst="0" w:colLast="0"/>
      <w:bookmarkEnd w:id="3"/>
      <w:r>
        <w:rPr>
          <w:rFonts w:ascii="Calibri" w:eastAsia="Calibri" w:hAnsi="Calibri" w:cs="Calibri"/>
          <w:sz w:val="20"/>
          <w:szCs w:val="20"/>
        </w:rPr>
        <w:t xml:space="preserve">Overview </w:t>
      </w:r>
    </w:p>
    <w:p w14:paraId="0000006B" w14:textId="77777777" w:rsidR="001E40A1" w:rsidRDefault="001E40A1">
      <w:pPr>
        <w:rPr>
          <w:rFonts w:ascii="Calibri" w:eastAsia="Calibri" w:hAnsi="Calibri" w:cs="Calibri"/>
        </w:rPr>
      </w:pPr>
    </w:p>
    <w:p w14:paraId="0000006C" w14:textId="77777777" w:rsidR="001E40A1" w:rsidRDefault="007A0446">
      <w:pPr>
        <w:jc w:val="both"/>
        <w:rPr>
          <w:rFonts w:ascii="Calibri" w:eastAsia="Calibri" w:hAnsi="Calibri" w:cs="Calibri"/>
        </w:rPr>
      </w:pPr>
      <w:r>
        <w:rPr>
          <w:rFonts w:ascii="Calibri" w:eastAsia="Calibri" w:hAnsi="Calibri" w:cs="Calibri"/>
        </w:rPr>
        <w:t>This document provides a starting point for the development of Sector Criteria for the shipping industry under the Climate Bonds S</w:t>
      </w:r>
      <w:r>
        <w:rPr>
          <w:rFonts w:ascii="Calibri" w:eastAsia="Calibri" w:hAnsi="Calibri" w:cs="Calibri"/>
        </w:rPr>
        <w:t>tandard. The purpose of these Criteria will be to provide a succinct set of decision rules for determining when shipping projects and assets are compatible with a low carbon, climate resilient economy, and therefore should be certified under the Climate Bo</w:t>
      </w:r>
      <w:r>
        <w:rPr>
          <w:rFonts w:ascii="Calibri" w:eastAsia="Calibri" w:hAnsi="Calibri" w:cs="Calibri"/>
        </w:rPr>
        <w:t>nds Standard. The document’s aim is to give an overview of the issues, which the Criteria’s Technical Working Group (TWG) and Industry Working Group (IWG) is likely to meet in developing the Criteria.</w:t>
      </w:r>
    </w:p>
    <w:p w14:paraId="0000006D" w14:textId="77777777" w:rsidR="001E40A1" w:rsidRDefault="001E40A1">
      <w:pPr>
        <w:jc w:val="both"/>
        <w:rPr>
          <w:rFonts w:ascii="Calibri" w:eastAsia="Calibri" w:hAnsi="Calibri" w:cs="Calibri"/>
        </w:rPr>
      </w:pPr>
    </w:p>
    <w:p w14:paraId="0000006E" w14:textId="77777777" w:rsidR="001E40A1" w:rsidRDefault="007A0446">
      <w:pPr>
        <w:jc w:val="both"/>
        <w:rPr>
          <w:rFonts w:ascii="Calibri" w:eastAsia="Calibri" w:hAnsi="Calibri" w:cs="Calibri"/>
        </w:rPr>
      </w:pPr>
      <w:r>
        <w:rPr>
          <w:rFonts w:ascii="Calibri" w:eastAsia="Calibri" w:hAnsi="Calibri" w:cs="Calibri"/>
        </w:rPr>
        <w:t>The two main tasks of the TWG will be to draw up two s</w:t>
      </w:r>
      <w:r>
        <w:rPr>
          <w:rFonts w:ascii="Calibri" w:eastAsia="Calibri" w:hAnsi="Calibri" w:cs="Calibri"/>
        </w:rPr>
        <w:t xml:space="preserve">ub-sets of Criteria: one for determining the mitigation potential or low carbon status of the project or asset; and one for determining its resilience to climate impacts. These criteria ideally need to provide an optimal balance between rigour, robustness </w:t>
      </w:r>
      <w:r>
        <w:rPr>
          <w:rFonts w:ascii="Calibri" w:eastAsia="Calibri" w:hAnsi="Calibri" w:cs="Calibri"/>
        </w:rPr>
        <w:t xml:space="preserve">and keeping the burden of assessment low. The main task of the IWG will be to review these Criteria and provide feedback on the efficacy, applicability, and appropriateness of the Criteria. </w:t>
      </w:r>
    </w:p>
    <w:p w14:paraId="0000006F" w14:textId="77777777" w:rsidR="001E40A1" w:rsidRDefault="001E40A1">
      <w:pPr>
        <w:rPr>
          <w:rFonts w:ascii="Calibri" w:eastAsia="Calibri" w:hAnsi="Calibri" w:cs="Calibri"/>
        </w:rPr>
      </w:pPr>
    </w:p>
    <w:p w14:paraId="00000070" w14:textId="77777777" w:rsidR="001E40A1" w:rsidRDefault="007A0446">
      <w:pPr>
        <w:pStyle w:val="Heading2"/>
        <w:numPr>
          <w:ilvl w:val="1"/>
          <w:numId w:val="10"/>
        </w:numPr>
        <w:rPr>
          <w:rFonts w:ascii="Calibri" w:eastAsia="Calibri" w:hAnsi="Calibri" w:cs="Calibri"/>
          <w:sz w:val="20"/>
          <w:szCs w:val="20"/>
        </w:rPr>
      </w:pPr>
      <w:bookmarkStart w:id="4" w:name="_heading=h.2et92p0" w:colFirst="0" w:colLast="0"/>
      <w:bookmarkEnd w:id="4"/>
      <w:r>
        <w:rPr>
          <w:rFonts w:ascii="Calibri" w:eastAsia="Calibri" w:hAnsi="Calibri" w:cs="Calibri"/>
          <w:sz w:val="20"/>
          <w:szCs w:val="20"/>
        </w:rPr>
        <w:t xml:space="preserve">Funding needs of a low-carbon and climate resilient economy </w:t>
      </w:r>
    </w:p>
    <w:p w14:paraId="00000071" w14:textId="77777777" w:rsidR="001E40A1" w:rsidRDefault="001E40A1">
      <w:pPr>
        <w:rPr>
          <w:rFonts w:ascii="Calibri" w:eastAsia="Calibri" w:hAnsi="Calibri" w:cs="Calibri"/>
        </w:rPr>
      </w:pPr>
    </w:p>
    <w:p w14:paraId="00000072" w14:textId="77777777" w:rsidR="001E40A1" w:rsidRDefault="007A0446">
      <w:pPr>
        <w:jc w:val="both"/>
        <w:rPr>
          <w:rFonts w:ascii="Calibri" w:eastAsia="Calibri" w:hAnsi="Calibri" w:cs="Calibri"/>
        </w:rPr>
      </w:pPr>
      <w:r>
        <w:rPr>
          <w:rFonts w:ascii="Calibri" w:eastAsia="Calibri" w:hAnsi="Calibri" w:cs="Calibri"/>
        </w:rPr>
        <w:t>The current trajectory of climate change is expected to lead to a global warming of 3.1-3.7°C above pre-industrial levels by 2100</w:t>
      </w:r>
      <w:r>
        <w:rPr>
          <w:rFonts w:ascii="Calibri" w:eastAsia="Calibri" w:hAnsi="Calibri" w:cs="Calibri"/>
          <w:vertAlign w:val="superscript"/>
        </w:rPr>
        <w:footnoteReference w:id="1"/>
      </w:r>
      <w:r>
        <w:rPr>
          <w:rFonts w:ascii="Calibri" w:eastAsia="Calibri" w:hAnsi="Calibri" w:cs="Calibri"/>
        </w:rPr>
        <w:t>, posing an enormous threat to the future of the world’s nations and economies. The effects of climate change and the risks associated with a greater than 2°C rise in global temperatures by the end of the century are significant: rising sea levels, increas</w:t>
      </w:r>
      <w:r>
        <w:rPr>
          <w:rFonts w:ascii="Calibri" w:eastAsia="Calibri" w:hAnsi="Calibri" w:cs="Calibri"/>
        </w:rPr>
        <w:t>ed frequency and severity of hurricanes, droughts, wildfires and typhoons, and changes in agricultural patterns and yields. Avoiding such catastrophic climate change requires a dramatic reduction in global greenhouse gas emissions.</w:t>
      </w:r>
    </w:p>
    <w:p w14:paraId="00000073" w14:textId="77777777" w:rsidR="001E40A1" w:rsidRDefault="001E40A1">
      <w:pPr>
        <w:jc w:val="both"/>
        <w:rPr>
          <w:rFonts w:ascii="Calibri" w:eastAsia="Calibri" w:hAnsi="Calibri" w:cs="Calibri"/>
        </w:rPr>
      </w:pPr>
    </w:p>
    <w:p w14:paraId="00000074" w14:textId="77777777" w:rsidR="001E40A1" w:rsidRDefault="007A0446">
      <w:pPr>
        <w:jc w:val="both"/>
        <w:rPr>
          <w:rFonts w:ascii="Calibri" w:eastAsia="Calibri" w:hAnsi="Calibri" w:cs="Calibri"/>
        </w:rPr>
      </w:pPr>
      <w:r>
        <w:rPr>
          <w:rFonts w:ascii="Calibri" w:eastAsia="Calibri" w:hAnsi="Calibri" w:cs="Calibri"/>
        </w:rPr>
        <w:t>Meanwhile, the world is</w:t>
      </w:r>
      <w:r>
        <w:rPr>
          <w:rFonts w:ascii="Calibri" w:eastAsia="Calibri" w:hAnsi="Calibri" w:cs="Calibri"/>
        </w:rPr>
        <w:t xml:space="preserve"> entering an age of unprecedented urbanisation and related infrastructure development. Global infrastructure investment is expected to amount to USD 90 trillion over the next 15 years, which is more than the entire current infrastructure stock.</w:t>
      </w:r>
      <w:r>
        <w:rPr>
          <w:rFonts w:ascii="Calibri" w:eastAsia="Calibri" w:hAnsi="Calibri" w:cs="Calibri"/>
          <w:vertAlign w:val="superscript"/>
        </w:rPr>
        <w:footnoteReference w:id="2"/>
      </w:r>
    </w:p>
    <w:p w14:paraId="00000075" w14:textId="77777777" w:rsidR="001E40A1" w:rsidRDefault="001E40A1">
      <w:pPr>
        <w:jc w:val="both"/>
        <w:rPr>
          <w:rFonts w:ascii="Calibri" w:eastAsia="Calibri" w:hAnsi="Calibri" w:cs="Calibri"/>
        </w:rPr>
      </w:pPr>
    </w:p>
    <w:p w14:paraId="00000076" w14:textId="77777777" w:rsidR="001E40A1" w:rsidRDefault="007A0446">
      <w:pPr>
        <w:jc w:val="both"/>
        <w:rPr>
          <w:rFonts w:ascii="Calibri" w:eastAsia="Calibri" w:hAnsi="Calibri" w:cs="Calibri"/>
        </w:rPr>
      </w:pPr>
      <w:r>
        <w:rPr>
          <w:rFonts w:ascii="Calibri" w:eastAsia="Calibri" w:hAnsi="Calibri" w:cs="Calibri"/>
        </w:rPr>
        <w:t>To ensur</w:t>
      </w:r>
      <w:r>
        <w:rPr>
          <w:rFonts w:ascii="Calibri" w:eastAsia="Calibri" w:hAnsi="Calibri" w:cs="Calibri"/>
        </w:rPr>
        <w:t>e sustainable development and slow climate change, this infrastructure needs to be low-carbon and resilient to climate change, without compromising the kind of economic growth needed to improve the livelihoods and wellbeing of the world’s most vulnerable c</w:t>
      </w:r>
      <w:r>
        <w:rPr>
          <w:rFonts w:ascii="Calibri" w:eastAsia="Calibri" w:hAnsi="Calibri" w:cs="Calibri"/>
        </w:rPr>
        <w:t>itizens. Ensuring that the infrastructure built is low-carbon is estimated to raise annual investment needs by 3–4% to USD 6.2 trillion.</w:t>
      </w:r>
      <w:r>
        <w:rPr>
          <w:rFonts w:ascii="Calibri" w:eastAsia="Calibri" w:hAnsi="Calibri" w:cs="Calibri"/>
          <w:vertAlign w:val="superscript"/>
        </w:rPr>
        <w:footnoteReference w:id="3"/>
      </w:r>
      <w:r>
        <w:rPr>
          <w:rFonts w:ascii="Calibri" w:eastAsia="Calibri" w:hAnsi="Calibri" w:cs="Calibri"/>
          <w:vertAlign w:val="superscript"/>
        </w:rPr>
        <w:t xml:space="preserve"> </w:t>
      </w:r>
      <w:r>
        <w:rPr>
          <w:rFonts w:ascii="Calibri" w:eastAsia="Calibri" w:hAnsi="Calibri" w:cs="Calibri"/>
        </w:rPr>
        <w:t xml:space="preserve">Climate adaptation needs add another significant amount of investment, which is estimated at USD 280–500 billion per </w:t>
      </w:r>
      <w:r>
        <w:rPr>
          <w:rFonts w:ascii="Calibri" w:eastAsia="Calibri" w:hAnsi="Calibri" w:cs="Calibri"/>
        </w:rPr>
        <w:t>annum by 2050 for a 2°C scenario.</w:t>
      </w:r>
      <w:r>
        <w:rPr>
          <w:rFonts w:ascii="Calibri" w:eastAsia="Calibri" w:hAnsi="Calibri" w:cs="Calibri"/>
          <w:vertAlign w:val="superscript"/>
        </w:rPr>
        <w:footnoteReference w:id="4"/>
      </w:r>
    </w:p>
    <w:p w14:paraId="00000077" w14:textId="77777777" w:rsidR="001E40A1" w:rsidRDefault="001E40A1">
      <w:pPr>
        <w:jc w:val="both"/>
        <w:rPr>
          <w:rFonts w:ascii="Calibri" w:eastAsia="Calibri" w:hAnsi="Calibri" w:cs="Calibri"/>
        </w:rPr>
      </w:pPr>
    </w:p>
    <w:p w14:paraId="00000078" w14:textId="77777777" w:rsidR="001E40A1" w:rsidRDefault="007A0446">
      <w:pPr>
        <w:jc w:val="both"/>
        <w:rPr>
          <w:rFonts w:ascii="Calibri" w:eastAsia="Calibri" w:hAnsi="Calibri" w:cs="Calibri"/>
        </w:rPr>
      </w:pPr>
      <w:r>
        <w:rPr>
          <w:rFonts w:ascii="Calibri" w:eastAsia="Calibri" w:hAnsi="Calibri" w:cs="Calibri"/>
        </w:rPr>
        <w:t>According to the Task Force on Climate-related Financial Disclosures (TCFD), there are two broad channels through which climate change can present risks to business activities and assets</w:t>
      </w:r>
      <w:r>
        <w:rPr>
          <w:rFonts w:ascii="Calibri" w:eastAsia="Calibri" w:hAnsi="Calibri" w:cs="Calibri"/>
          <w:vertAlign w:val="superscript"/>
        </w:rPr>
        <w:footnoteReference w:id="5"/>
      </w:r>
      <w:r>
        <w:rPr>
          <w:rFonts w:ascii="Calibri" w:eastAsia="Calibri" w:hAnsi="Calibri" w:cs="Calibri"/>
        </w:rPr>
        <w:t>:</w:t>
      </w:r>
    </w:p>
    <w:p w14:paraId="00000079" w14:textId="77777777" w:rsidR="001E40A1" w:rsidRDefault="001E40A1">
      <w:pPr>
        <w:jc w:val="both"/>
        <w:rPr>
          <w:rFonts w:ascii="Calibri" w:eastAsia="Calibri" w:hAnsi="Calibri" w:cs="Calibri"/>
        </w:rPr>
      </w:pPr>
    </w:p>
    <w:p w14:paraId="0000007A" w14:textId="77777777" w:rsidR="001E40A1" w:rsidRDefault="007A0446">
      <w:pPr>
        <w:jc w:val="both"/>
        <w:rPr>
          <w:rFonts w:ascii="Calibri" w:eastAsia="Calibri" w:hAnsi="Calibri" w:cs="Calibri"/>
        </w:rPr>
      </w:pPr>
      <w:r>
        <w:rPr>
          <w:rFonts w:ascii="Calibri" w:eastAsia="Calibri" w:hAnsi="Calibri" w:cs="Calibri"/>
        </w:rPr>
        <w:t>Physical risk: the risk of i</w:t>
      </w:r>
      <w:r>
        <w:rPr>
          <w:rFonts w:ascii="Calibri" w:eastAsia="Calibri" w:hAnsi="Calibri" w:cs="Calibri"/>
        </w:rPr>
        <w:t>mpacts from climate- and weather-related events, such as floods and storms that damage property or disrupt supply chains and trade;</w:t>
      </w:r>
    </w:p>
    <w:p w14:paraId="0000007B" w14:textId="77777777" w:rsidR="001E40A1" w:rsidRDefault="007A0446">
      <w:pPr>
        <w:jc w:val="both"/>
        <w:rPr>
          <w:rFonts w:ascii="Calibri" w:eastAsia="Calibri" w:hAnsi="Calibri" w:cs="Calibri"/>
        </w:rPr>
      </w:pPr>
      <w:r>
        <w:rPr>
          <w:rFonts w:ascii="Calibri" w:eastAsia="Calibri" w:hAnsi="Calibri" w:cs="Calibri"/>
        </w:rPr>
        <w:t xml:space="preserve">Transition risk: the financial risks that could result from the process of adjustment towards a lower-carbon economy. These </w:t>
      </w:r>
      <w:r>
        <w:rPr>
          <w:rFonts w:ascii="Calibri" w:eastAsia="Calibri" w:hAnsi="Calibri" w:cs="Calibri"/>
        </w:rPr>
        <w:t xml:space="preserve">include sudden shifts in demand; legal risk due to parties who have suffered loss or damage seeking compensation; and changes in policy favouring lower carbon technologies. </w:t>
      </w:r>
    </w:p>
    <w:p w14:paraId="0000007C" w14:textId="77777777" w:rsidR="001E40A1" w:rsidRDefault="001E40A1">
      <w:pPr>
        <w:jc w:val="both"/>
        <w:rPr>
          <w:rFonts w:ascii="Calibri" w:eastAsia="Calibri" w:hAnsi="Calibri" w:cs="Calibri"/>
        </w:rPr>
      </w:pPr>
    </w:p>
    <w:p w14:paraId="0000007D" w14:textId="77777777" w:rsidR="001E40A1" w:rsidRDefault="007A0446">
      <w:pPr>
        <w:jc w:val="both"/>
        <w:rPr>
          <w:rFonts w:ascii="Calibri" w:eastAsia="Calibri" w:hAnsi="Calibri" w:cs="Calibri"/>
        </w:rPr>
      </w:pPr>
      <w:r>
        <w:rPr>
          <w:rFonts w:ascii="Calibri" w:eastAsia="Calibri" w:hAnsi="Calibri" w:cs="Calibri"/>
        </w:rPr>
        <w:t xml:space="preserve">All of these could prompt a reassessment of the value of a large range of assets </w:t>
      </w:r>
      <w:r>
        <w:rPr>
          <w:rFonts w:ascii="Calibri" w:eastAsia="Calibri" w:hAnsi="Calibri" w:cs="Calibri"/>
        </w:rPr>
        <w:t xml:space="preserve">as costs and opportunities become apparent, and widespread inadequate information on these risks could even threaten the stability of the financial </w:t>
      </w:r>
      <w:r>
        <w:rPr>
          <w:rFonts w:ascii="Calibri" w:eastAsia="Calibri" w:hAnsi="Calibri" w:cs="Calibri"/>
        </w:rPr>
        <w:lastRenderedPageBreak/>
        <w:t>system. Risks to financial stability will be minimised if the transition begins early and follows a predicta</w:t>
      </w:r>
      <w:r>
        <w:rPr>
          <w:rFonts w:ascii="Calibri" w:eastAsia="Calibri" w:hAnsi="Calibri" w:cs="Calibri"/>
        </w:rPr>
        <w:t xml:space="preserve">ble path, thereby helping the market anticipate the transition to a 2°C world. </w:t>
      </w:r>
    </w:p>
    <w:p w14:paraId="0000007E" w14:textId="77777777" w:rsidR="001E40A1" w:rsidRDefault="001E40A1">
      <w:pPr>
        <w:rPr>
          <w:rFonts w:ascii="Calibri" w:eastAsia="Calibri" w:hAnsi="Calibri" w:cs="Calibri"/>
        </w:rPr>
      </w:pPr>
    </w:p>
    <w:p w14:paraId="0000007F" w14:textId="77777777" w:rsidR="001E40A1" w:rsidRDefault="007A0446">
      <w:pPr>
        <w:pStyle w:val="Heading2"/>
        <w:numPr>
          <w:ilvl w:val="1"/>
          <w:numId w:val="10"/>
        </w:numPr>
        <w:rPr>
          <w:rFonts w:ascii="Calibri" w:eastAsia="Calibri" w:hAnsi="Calibri" w:cs="Calibri"/>
          <w:sz w:val="20"/>
          <w:szCs w:val="20"/>
        </w:rPr>
      </w:pPr>
      <w:bookmarkStart w:id="5" w:name="_heading=h.tyjcwt" w:colFirst="0" w:colLast="0"/>
      <w:bookmarkEnd w:id="5"/>
      <w:r>
        <w:rPr>
          <w:rFonts w:ascii="Calibri" w:eastAsia="Calibri" w:hAnsi="Calibri" w:cs="Calibri"/>
          <w:sz w:val="20"/>
          <w:szCs w:val="20"/>
        </w:rPr>
        <w:t>Role of bonds</w:t>
      </w:r>
    </w:p>
    <w:p w14:paraId="00000080" w14:textId="77777777" w:rsidR="001E40A1" w:rsidRDefault="001E40A1">
      <w:pPr>
        <w:rPr>
          <w:rFonts w:ascii="Calibri" w:eastAsia="Calibri" w:hAnsi="Calibri" w:cs="Calibri"/>
        </w:rPr>
      </w:pPr>
    </w:p>
    <w:p w14:paraId="00000081" w14:textId="77777777" w:rsidR="001E40A1" w:rsidRDefault="007A0446">
      <w:pPr>
        <w:jc w:val="both"/>
        <w:rPr>
          <w:rFonts w:ascii="Calibri" w:eastAsia="Calibri" w:hAnsi="Calibri" w:cs="Calibri"/>
        </w:rPr>
      </w:pPr>
      <w:r>
        <w:rPr>
          <w:rFonts w:ascii="Calibri" w:eastAsia="Calibri" w:hAnsi="Calibri" w:cs="Calibri"/>
        </w:rPr>
        <w:t>Traditional sources of capital for infrastructure investment (governments and commercial banks) are insufficient to meet capital requirement needs to 2030; inst</w:t>
      </w:r>
      <w:r>
        <w:rPr>
          <w:rFonts w:ascii="Calibri" w:eastAsia="Calibri" w:hAnsi="Calibri" w:cs="Calibri"/>
        </w:rPr>
        <w:t>itutional investors, particularly pension and sovereign wealth funds, are increasingly looked to as viable actors to fill these financing gaps.</w:t>
      </w:r>
    </w:p>
    <w:p w14:paraId="00000082" w14:textId="77777777" w:rsidR="001E40A1" w:rsidRDefault="001E40A1">
      <w:pPr>
        <w:jc w:val="both"/>
        <w:rPr>
          <w:rFonts w:ascii="Calibri" w:eastAsia="Calibri" w:hAnsi="Calibri" w:cs="Calibri"/>
        </w:rPr>
      </w:pPr>
    </w:p>
    <w:p w14:paraId="00000083" w14:textId="77777777" w:rsidR="001E40A1" w:rsidRDefault="007A0446">
      <w:pPr>
        <w:jc w:val="both"/>
        <w:rPr>
          <w:rFonts w:ascii="Calibri" w:eastAsia="Calibri" w:hAnsi="Calibri" w:cs="Calibri"/>
        </w:rPr>
      </w:pPr>
      <w:r>
        <w:rPr>
          <w:rFonts w:ascii="Calibri" w:eastAsia="Calibri" w:hAnsi="Calibri" w:cs="Calibri"/>
        </w:rPr>
        <w:t>Capital markets enable issuers to tap into large pools of private capital from institutional investors. Bonds a</w:t>
      </w:r>
      <w:r>
        <w:rPr>
          <w:rFonts w:ascii="Calibri" w:eastAsia="Calibri" w:hAnsi="Calibri" w:cs="Calibri"/>
        </w:rPr>
        <w:t xml:space="preserve">re appropriate investment vehicles for these investors as they are low-risk investments with long-term maturities (in comparison to equity investments in the same company for example), making them a good fit with institutional investors’ liabilities (e.g. </w:t>
      </w:r>
      <w:r>
        <w:rPr>
          <w:rFonts w:ascii="Calibri" w:eastAsia="Calibri" w:hAnsi="Calibri" w:cs="Calibri"/>
        </w:rPr>
        <w:t xml:space="preserve">pensions to be paid out in several decades). </w:t>
      </w:r>
    </w:p>
    <w:p w14:paraId="00000084" w14:textId="77777777" w:rsidR="001E40A1" w:rsidRDefault="001E40A1">
      <w:pPr>
        <w:jc w:val="both"/>
        <w:rPr>
          <w:rFonts w:ascii="Calibri" w:eastAsia="Calibri" w:hAnsi="Calibri" w:cs="Calibri"/>
        </w:rPr>
      </w:pPr>
    </w:p>
    <w:p w14:paraId="00000085" w14:textId="77777777" w:rsidR="001E40A1" w:rsidRDefault="007A0446">
      <w:pPr>
        <w:jc w:val="both"/>
        <w:rPr>
          <w:rFonts w:ascii="Calibri" w:eastAsia="Calibri" w:hAnsi="Calibri" w:cs="Calibri"/>
        </w:rPr>
      </w:pPr>
      <w:r>
        <w:rPr>
          <w:rFonts w:ascii="Calibri" w:eastAsia="Calibri" w:hAnsi="Calibri" w:cs="Calibri"/>
        </w:rPr>
        <w:t>Bond financing works well for low-carbon and climate-resilient infrastructure projects post-construction, as capital markets also facilitate risk management. Across investors and financial markets, different e</w:t>
      </w:r>
      <w:r>
        <w:rPr>
          <w:rFonts w:ascii="Calibri" w:eastAsia="Calibri" w:hAnsi="Calibri" w:cs="Calibri"/>
        </w:rPr>
        <w:t>ntities face different types and severities of risks related to climate change, depending on many factors including degree of long-term exposure, likelihood of negative climate impacts, and ability to mitigate impacts or shift positions.</w:t>
      </w:r>
    </w:p>
    <w:p w14:paraId="00000086" w14:textId="77777777" w:rsidR="001E40A1" w:rsidRDefault="001E40A1">
      <w:pPr>
        <w:jc w:val="both"/>
        <w:rPr>
          <w:rFonts w:ascii="Calibri" w:eastAsia="Calibri" w:hAnsi="Calibri" w:cs="Calibri"/>
        </w:rPr>
      </w:pPr>
    </w:p>
    <w:p w14:paraId="00000087" w14:textId="77777777" w:rsidR="001E40A1" w:rsidRDefault="007A0446">
      <w:pPr>
        <w:jc w:val="both"/>
        <w:rPr>
          <w:rFonts w:ascii="Calibri" w:eastAsia="Calibri" w:hAnsi="Calibri" w:cs="Calibri"/>
        </w:rPr>
      </w:pPr>
      <w:r>
        <w:rPr>
          <w:rFonts w:ascii="Calibri" w:eastAsia="Calibri" w:hAnsi="Calibri" w:cs="Calibri"/>
        </w:rPr>
        <w:t>Bonds offer relatively stable and predictable returns and long-term maturities. This makes them a good fit with institutional investors’ investment needs. Labelled green bonds are bonds with proceeds used for green projects, mostly climate change mitigatio</w:t>
      </w:r>
      <w:r>
        <w:rPr>
          <w:rFonts w:ascii="Calibri" w:eastAsia="Calibri" w:hAnsi="Calibri" w:cs="Calibri"/>
        </w:rPr>
        <w:t>n and/or adaptation projects, and labelled accordingly. The rapid growth of the labelled green bond market has shown in practice that the bond markets provide a promising channel to finance climate investments.</w:t>
      </w:r>
    </w:p>
    <w:p w14:paraId="00000088" w14:textId="77777777" w:rsidR="001E40A1" w:rsidRDefault="001E40A1">
      <w:pPr>
        <w:jc w:val="both"/>
        <w:rPr>
          <w:rFonts w:ascii="Calibri" w:eastAsia="Calibri" w:hAnsi="Calibri" w:cs="Calibri"/>
        </w:rPr>
      </w:pPr>
    </w:p>
    <w:p w14:paraId="00000089" w14:textId="77777777" w:rsidR="001E40A1" w:rsidRDefault="007A0446">
      <w:pPr>
        <w:jc w:val="both"/>
        <w:rPr>
          <w:rFonts w:ascii="Calibri" w:eastAsia="Calibri" w:hAnsi="Calibri" w:cs="Calibri"/>
        </w:rPr>
      </w:pPr>
      <w:r>
        <w:rPr>
          <w:rFonts w:ascii="Calibri" w:eastAsia="Calibri" w:hAnsi="Calibri" w:cs="Calibri"/>
        </w:rPr>
        <w:t>The green bond market can reward bond issuer</w:t>
      </w:r>
      <w:r>
        <w:rPr>
          <w:rFonts w:ascii="Calibri" w:eastAsia="Calibri" w:hAnsi="Calibri" w:cs="Calibri"/>
        </w:rPr>
        <w:t>s and investors for sustainable investments that accelerate progress toward a low carbon and climate resilient economy. Commonly used as long-term debt instruments, green bonds are issued by governments, companies, municipalities, commercial and developmen</w:t>
      </w:r>
      <w:r>
        <w:rPr>
          <w:rFonts w:ascii="Calibri" w:eastAsia="Calibri" w:hAnsi="Calibri" w:cs="Calibri"/>
        </w:rPr>
        <w:t xml:space="preserve">t banks to finance or re-finance assets or activities with environmental benefits. Green bonds are in high demand and can help issuers attract new types of investors. </w:t>
      </w:r>
    </w:p>
    <w:p w14:paraId="0000008A" w14:textId="77777777" w:rsidR="001E40A1" w:rsidRDefault="001E40A1">
      <w:pPr>
        <w:jc w:val="both"/>
        <w:rPr>
          <w:rFonts w:ascii="Calibri" w:eastAsia="Calibri" w:hAnsi="Calibri" w:cs="Calibri"/>
        </w:rPr>
      </w:pPr>
    </w:p>
    <w:p w14:paraId="0000008B" w14:textId="77777777" w:rsidR="001E40A1" w:rsidRDefault="007A0446">
      <w:pPr>
        <w:jc w:val="both"/>
        <w:rPr>
          <w:rFonts w:ascii="Calibri" w:eastAsia="Calibri" w:hAnsi="Calibri" w:cs="Calibri"/>
        </w:rPr>
      </w:pPr>
      <w:r>
        <w:rPr>
          <w:rFonts w:ascii="Calibri" w:eastAsia="Calibri" w:hAnsi="Calibri" w:cs="Calibri"/>
        </w:rPr>
        <w:t>Green bonds are regular bonds with one distinguishing feature: proceeds are earmarked f</w:t>
      </w:r>
      <w:r>
        <w:rPr>
          <w:rFonts w:ascii="Calibri" w:eastAsia="Calibri" w:hAnsi="Calibri" w:cs="Calibri"/>
        </w:rPr>
        <w:t>or projects with environmental benefits, primarily climate change mitigation and adaptation. A green label is a discovery mechanism for investors. It enables the identification of climate-aligned investments with limited resources for due diligence. By doi</w:t>
      </w:r>
      <w:r>
        <w:rPr>
          <w:rFonts w:ascii="Calibri" w:eastAsia="Calibri" w:hAnsi="Calibri" w:cs="Calibri"/>
        </w:rPr>
        <w:t>ngs so, a green bond label reduces friction in the markets and facilitates growth in climate-aligned investments.</w:t>
      </w:r>
    </w:p>
    <w:p w14:paraId="0000008C" w14:textId="77777777" w:rsidR="001E40A1" w:rsidRDefault="001E40A1">
      <w:pPr>
        <w:jc w:val="both"/>
        <w:rPr>
          <w:rFonts w:ascii="Calibri" w:eastAsia="Calibri" w:hAnsi="Calibri" w:cs="Calibri"/>
        </w:rPr>
      </w:pPr>
    </w:p>
    <w:p w14:paraId="0000008D" w14:textId="77777777" w:rsidR="001E40A1" w:rsidRDefault="007A0446">
      <w:pPr>
        <w:jc w:val="both"/>
        <w:rPr>
          <w:rFonts w:ascii="Calibri" w:eastAsia="Calibri" w:hAnsi="Calibri" w:cs="Calibri"/>
        </w:rPr>
      </w:pPr>
      <w:r>
        <w:rPr>
          <w:rFonts w:ascii="Calibri" w:eastAsia="Calibri" w:hAnsi="Calibri" w:cs="Calibri"/>
        </w:rPr>
        <w:t>However, currently green bonds only account for less than 0.2% of all bonds issued globally, whereas the global bond market stands at USD 100</w:t>
      </w:r>
      <w:r>
        <w:rPr>
          <w:rFonts w:ascii="Calibri" w:eastAsia="Calibri" w:hAnsi="Calibri" w:cs="Calibri"/>
        </w:rPr>
        <w:t xml:space="preserve"> trillion. The potential for scaling up is tremendous. The market now needs to grow much bigger, and quickly.</w:t>
      </w:r>
    </w:p>
    <w:p w14:paraId="0000008E" w14:textId="77777777" w:rsidR="001E40A1" w:rsidRDefault="001E40A1">
      <w:pPr>
        <w:rPr>
          <w:rFonts w:ascii="Calibri" w:eastAsia="Calibri" w:hAnsi="Calibri" w:cs="Calibri"/>
        </w:rPr>
      </w:pPr>
    </w:p>
    <w:p w14:paraId="0000008F" w14:textId="77777777" w:rsidR="001E40A1" w:rsidRDefault="007A0446">
      <w:pPr>
        <w:pStyle w:val="Heading2"/>
        <w:numPr>
          <w:ilvl w:val="1"/>
          <w:numId w:val="10"/>
        </w:numPr>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t>Introduction to Climate Bonds Initiative and the Climate Bonds Standard</w:t>
      </w:r>
    </w:p>
    <w:p w14:paraId="00000090" w14:textId="77777777" w:rsidR="001E40A1" w:rsidRDefault="001E40A1">
      <w:pPr>
        <w:rPr>
          <w:rFonts w:ascii="Calibri" w:eastAsia="Calibri" w:hAnsi="Calibri" w:cs="Calibri"/>
        </w:rPr>
      </w:pPr>
    </w:p>
    <w:p w14:paraId="00000091" w14:textId="77777777" w:rsidR="001E40A1" w:rsidRDefault="007A0446">
      <w:pPr>
        <w:jc w:val="both"/>
        <w:rPr>
          <w:rFonts w:ascii="Calibri" w:eastAsia="Calibri" w:hAnsi="Calibri" w:cs="Calibri"/>
        </w:rPr>
      </w:pPr>
      <w:r>
        <w:rPr>
          <w:rFonts w:ascii="Calibri" w:eastAsia="Calibri" w:hAnsi="Calibri" w:cs="Calibri"/>
        </w:rPr>
        <w:t>The Climate Bonds Initiative is an investor-focused not-for-profit organ</w:t>
      </w:r>
      <w:r>
        <w:rPr>
          <w:rFonts w:ascii="Calibri" w:eastAsia="Calibri" w:hAnsi="Calibri" w:cs="Calibri"/>
        </w:rPr>
        <w:t>isation whose goal is to promote large-scale investments through green bonds and other debt instruments to accelerate a global transition to a low-carbon and climate-resilient economy.</w:t>
      </w:r>
    </w:p>
    <w:p w14:paraId="00000092" w14:textId="77777777" w:rsidR="001E40A1" w:rsidRDefault="001E40A1">
      <w:pPr>
        <w:jc w:val="both"/>
        <w:rPr>
          <w:rFonts w:ascii="Calibri" w:eastAsia="Calibri" w:hAnsi="Calibri" w:cs="Calibri"/>
        </w:rPr>
      </w:pPr>
    </w:p>
    <w:p w14:paraId="00000093" w14:textId="77777777" w:rsidR="001E40A1" w:rsidRDefault="007A0446">
      <w:pPr>
        <w:jc w:val="both"/>
        <w:rPr>
          <w:rFonts w:ascii="Calibri" w:eastAsia="Calibri" w:hAnsi="Calibri" w:cs="Calibri"/>
        </w:rPr>
      </w:pPr>
      <w:r>
        <w:rPr>
          <w:rFonts w:ascii="Calibri" w:eastAsia="Calibri" w:hAnsi="Calibri" w:cs="Calibri"/>
        </w:rPr>
        <w:t>Activating the mainstream debt capital markets to finance and refinanc</w:t>
      </w:r>
      <w:r>
        <w:rPr>
          <w:rFonts w:ascii="Calibri" w:eastAsia="Calibri" w:hAnsi="Calibri" w:cs="Calibri"/>
        </w:rPr>
        <w:t>e climate-aligned projects and assets is critical to achieving international climate goals, and robust labelling of green bonds is a key requirement for that mainstream participation. Confidence in the climate objectives and the use of funds intended to ad</w:t>
      </w:r>
      <w:r>
        <w:rPr>
          <w:rFonts w:ascii="Calibri" w:eastAsia="Calibri" w:hAnsi="Calibri" w:cs="Calibri"/>
        </w:rPr>
        <w:t>dress climate change is fundamental to the credibility of the role that green bonds play in a low carbon and climate resilient economy. Trust in the green label and transparency to the underlying assets are essential for this market to reach scale but inve</w:t>
      </w:r>
      <w:r>
        <w:rPr>
          <w:rFonts w:ascii="Calibri" w:eastAsia="Calibri" w:hAnsi="Calibri" w:cs="Calibri"/>
        </w:rPr>
        <w:t>stor capacity to assess green credentials is limited, especially in the fast-paced bond market. Therefore, the Climate Bonds Initiative created the Climate Bonds Standard &amp; Certification Scheme, which aims to provide the green bond market with the trust an</w:t>
      </w:r>
      <w:r>
        <w:rPr>
          <w:rFonts w:ascii="Calibri" w:eastAsia="Calibri" w:hAnsi="Calibri" w:cs="Calibri"/>
        </w:rPr>
        <w:t>d assurance that it needs to achieve scale.</w:t>
      </w:r>
    </w:p>
    <w:p w14:paraId="00000094" w14:textId="77777777" w:rsidR="001E40A1" w:rsidRDefault="001E40A1">
      <w:pPr>
        <w:jc w:val="both"/>
        <w:rPr>
          <w:rFonts w:ascii="Calibri" w:eastAsia="Calibri" w:hAnsi="Calibri" w:cs="Calibri"/>
        </w:rPr>
      </w:pPr>
    </w:p>
    <w:p w14:paraId="00000095" w14:textId="77777777" w:rsidR="001E40A1" w:rsidRDefault="007A0446">
      <w:pPr>
        <w:jc w:val="both"/>
        <w:rPr>
          <w:rFonts w:ascii="Calibri" w:eastAsia="Calibri" w:hAnsi="Calibri" w:cs="Calibri"/>
        </w:rPr>
      </w:pPr>
      <w:r>
        <w:rPr>
          <w:rFonts w:ascii="Calibri" w:eastAsia="Calibri" w:hAnsi="Calibri" w:cs="Calibri"/>
        </w:rPr>
        <w:lastRenderedPageBreak/>
        <w:t>The Climate Bonds Standard &amp; Certification Scheme is an easy-to-use tool for investors and issuers to assist them in prioritising investments that truly contribute to addressing climate change, both from a resil</w:t>
      </w:r>
      <w:r>
        <w:rPr>
          <w:rFonts w:ascii="Calibri" w:eastAsia="Calibri" w:hAnsi="Calibri" w:cs="Calibri"/>
        </w:rPr>
        <w:t>ience and a mitigation point of view. It is made up of the overarching Climate Bonds Standard detailing management and reporting processes, and a set of Sector Criteria detailing the requirements assets must meet to be eligible for certification. The Secto</w:t>
      </w:r>
      <w:r>
        <w:rPr>
          <w:rFonts w:ascii="Calibri" w:eastAsia="Calibri" w:hAnsi="Calibri" w:cs="Calibri"/>
        </w:rPr>
        <w:t>r Criteria covers a range of sectors including solar energy, wind energy, marine renewable energy, geothermal power, low carbon buildings, low carbon transport, forestry and water. The Certification Scheme requires issuers</w:t>
      </w:r>
      <w:r>
        <w:rPr>
          <w:rFonts w:ascii="MS Gothic" w:eastAsia="MS Gothic" w:hAnsi="MS Gothic" w:cs="MS Gothic"/>
        </w:rPr>
        <w:t> </w:t>
      </w:r>
      <w:r>
        <w:rPr>
          <w:rFonts w:ascii="Calibri" w:eastAsia="Calibri" w:hAnsi="Calibri" w:cs="Calibri"/>
        </w:rPr>
        <w:t>to obtain independent verificatio</w:t>
      </w:r>
      <w:r>
        <w:rPr>
          <w:rFonts w:ascii="Calibri" w:eastAsia="Calibri" w:hAnsi="Calibri" w:cs="Calibri"/>
        </w:rPr>
        <w:t>n, pre- and post-issuance, to ensure the bond meets the requirements of the Climate Bonds Standard.</w:t>
      </w:r>
    </w:p>
    <w:p w14:paraId="00000096" w14:textId="77777777" w:rsidR="001E40A1" w:rsidRDefault="001E40A1">
      <w:pPr>
        <w:rPr>
          <w:rFonts w:ascii="Calibri" w:eastAsia="Calibri" w:hAnsi="Calibri" w:cs="Calibri"/>
        </w:rPr>
      </w:pPr>
    </w:p>
    <w:p w14:paraId="00000097" w14:textId="77777777" w:rsidR="001E40A1" w:rsidRDefault="007A0446">
      <w:pPr>
        <w:pStyle w:val="Heading2"/>
        <w:numPr>
          <w:ilvl w:val="1"/>
          <w:numId w:val="10"/>
        </w:numPr>
        <w:rPr>
          <w:rFonts w:ascii="Calibri" w:eastAsia="Calibri" w:hAnsi="Calibri" w:cs="Calibri"/>
          <w:sz w:val="20"/>
          <w:szCs w:val="20"/>
        </w:rPr>
      </w:pPr>
      <w:bookmarkStart w:id="7" w:name="_heading=h.1t3h5sf" w:colFirst="0" w:colLast="0"/>
      <w:bookmarkEnd w:id="7"/>
      <w:r>
        <w:rPr>
          <w:rFonts w:ascii="Calibri" w:eastAsia="Calibri" w:hAnsi="Calibri" w:cs="Calibri"/>
          <w:sz w:val="20"/>
          <w:szCs w:val="20"/>
        </w:rPr>
        <w:t>Process for Sector Criteria Development</w:t>
      </w:r>
    </w:p>
    <w:p w14:paraId="00000098" w14:textId="77777777" w:rsidR="001E40A1" w:rsidRDefault="001E40A1">
      <w:pPr>
        <w:rPr>
          <w:rFonts w:ascii="Calibri" w:eastAsia="Calibri" w:hAnsi="Calibri" w:cs="Calibri"/>
        </w:rPr>
      </w:pPr>
    </w:p>
    <w:p w14:paraId="00000099" w14:textId="77777777" w:rsidR="001E40A1" w:rsidRDefault="007A0446">
      <w:pPr>
        <w:jc w:val="both"/>
        <w:rPr>
          <w:rFonts w:ascii="Calibri" w:eastAsia="Calibri" w:hAnsi="Calibri" w:cs="Calibri"/>
        </w:rPr>
      </w:pPr>
      <w:r>
        <w:rPr>
          <w:rFonts w:ascii="Calibri" w:eastAsia="Calibri" w:hAnsi="Calibri" w:cs="Calibri"/>
        </w:rPr>
        <w:t xml:space="preserve">The Climate Bonds Standard has been developed based on public consultation, road testing, review by the assurance </w:t>
      </w:r>
      <w:r>
        <w:rPr>
          <w:rFonts w:ascii="Calibri" w:eastAsia="Calibri" w:hAnsi="Calibri" w:cs="Calibri"/>
        </w:rPr>
        <w:t>roundtable and expert support from experienced green bond market actors. The Standard is revisited and amended on a regular basis in response to the growing green bond market. Sector specific Criteria, or definitions of green, are developed by Technical Wo</w:t>
      </w:r>
      <w:r>
        <w:rPr>
          <w:rFonts w:ascii="Calibri" w:eastAsia="Calibri" w:hAnsi="Calibri" w:cs="Calibri"/>
        </w:rPr>
        <w:t>rking Groups (TWGs), made up of scientists, engineers and technical specialists. Draft Criteria are presented to Industry Working Groups before being released for public comment. Finally, Criteria are presented to the Climate Bonds Standard Board for appro</w:t>
      </w:r>
      <w:r>
        <w:rPr>
          <w:rFonts w:ascii="Calibri" w:eastAsia="Calibri" w:hAnsi="Calibri" w:cs="Calibri"/>
        </w:rPr>
        <w:t>val (see diagram below).</w:t>
      </w:r>
    </w:p>
    <w:p w14:paraId="0000009A" w14:textId="77777777" w:rsidR="001E40A1" w:rsidRDefault="001E40A1">
      <w:pPr>
        <w:pBdr>
          <w:top w:val="nil"/>
          <w:left w:val="nil"/>
          <w:bottom w:val="nil"/>
          <w:right w:val="nil"/>
          <w:between w:val="nil"/>
        </w:pBdr>
        <w:rPr>
          <w:rFonts w:ascii="Calibri" w:eastAsia="Calibri" w:hAnsi="Calibri" w:cs="Calibri"/>
          <w:color w:val="000000"/>
          <w:u w:val="single"/>
        </w:rPr>
      </w:pPr>
    </w:p>
    <w:p w14:paraId="0000009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noProof/>
          <w:color w:val="000000"/>
        </w:rPr>
        <w:drawing>
          <wp:inline distT="0" distB="0" distL="0" distR="0">
            <wp:extent cx="5785994" cy="1158378"/>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785994" cy="1158378"/>
                    </a:xfrm>
                    <a:prstGeom prst="rect">
                      <a:avLst/>
                    </a:prstGeom>
                    <a:ln/>
                  </pic:spPr>
                </pic:pic>
              </a:graphicData>
            </a:graphic>
          </wp:inline>
        </w:drawing>
      </w:r>
    </w:p>
    <w:p w14:paraId="0000009C" w14:textId="77777777" w:rsidR="001E40A1" w:rsidRDefault="001E40A1">
      <w:pPr>
        <w:pBdr>
          <w:top w:val="nil"/>
          <w:left w:val="nil"/>
          <w:bottom w:val="nil"/>
          <w:right w:val="nil"/>
          <w:between w:val="nil"/>
        </w:pBdr>
        <w:rPr>
          <w:rFonts w:ascii="Calibri" w:eastAsia="Calibri" w:hAnsi="Calibri" w:cs="Calibri"/>
          <w:color w:val="000000"/>
          <w:u w:val="single"/>
        </w:rPr>
      </w:pPr>
    </w:p>
    <w:p w14:paraId="0000009D" w14:textId="77777777" w:rsidR="001E40A1" w:rsidRDefault="007A0446">
      <w:pPr>
        <w:jc w:val="both"/>
        <w:rPr>
          <w:rFonts w:ascii="Calibri" w:eastAsia="Calibri" w:hAnsi="Calibri" w:cs="Calibri"/>
        </w:rPr>
      </w:pPr>
      <w:r>
        <w:rPr>
          <w:rFonts w:ascii="Calibri" w:eastAsia="Calibri" w:hAnsi="Calibri" w:cs="Calibri"/>
        </w:rPr>
        <w:t>To date, Sector Criteria for wind, solar, geothermal, marine renewables, road transport, forestry, water and buildings are available for certification. Sector Criteria for hydropower, bioenergy, fisheries, waste management, agriculture, and shipping are un</w:t>
      </w:r>
      <w:r>
        <w:rPr>
          <w:rFonts w:ascii="Calibri" w:eastAsia="Calibri" w:hAnsi="Calibri" w:cs="Calibri"/>
        </w:rPr>
        <w:t xml:space="preserve">der development. Working groups for energy distribution &amp; management, ICT and industrial energy efficiency will be launched soon. </w:t>
      </w:r>
    </w:p>
    <w:p w14:paraId="0000009E" w14:textId="77777777" w:rsidR="001E40A1" w:rsidRDefault="001E40A1">
      <w:pPr>
        <w:pBdr>
          <w:top w:val="nil"/>
          <w:left w:val="nil"/>
          <w:bottom w:val="nil"/>
          <w:right w:val="nil"/>
          <w:between w:val="nil"/>
        </w:pBdr>
        <w:jc w:val="both"/>
        <w:rPr>
          <w:rFonts w:ascii="Calibri" w:eastAsia="Calibri" w:hAnsi="Calibri" w:cs="Calibri"/>
          <w:color w:val="000000"/>
        </w:rPr>
      </w:pPr>
    </w:p>
    <w:p w14:paraId="0000009F" w14:textId="77777777" w:rsidR="001E40A1" w:rsidRDefault="007A0446">
      <w:pPr>
        <w:pStyle w:val="Heading2"/>
        <w:numPr>
          <w:ilvl w:val="1"/>
          <w:numId w:val="10"/>
        </w:numPr>
        <w:rPr>
          <w:rFonts w:ascii="Calibri" w:eastAsia="Calibri" w:hAnsi="Calibri" w:cs="Calibri"/>
          <w:sz w:val="20"/>
          <w:szCs w:val="20"/>
        </w:rPr>
      </w:pPr>
      <w:bookmarkStart w:id="8" w:name="_heading=h.4d34og8" w:colFirst="0" w:colLast="0"/>
      <w:bookmarkEnd w:id="8"/>
      <w:r>
        <w:rPr>
          <w:rFonts w:ascii="Calibri" w:eastAsia="Calibri" w:hAnsi="Calibri" w:cs="Calibri"/>
          <w:sz w:val="20"/>
          <w:szCs w:val="20"/>
        </w:rPr>
        <w:t>Revisions to these Criteria</w:t>
      </w:r>
    </w:p>
    <w:p w14:paraId="000000A0" w14:textId="77777777" w:rsidR="001E40A1" w:rsidRDefault="001E40A1">
      <w:pPr>
        <w:rPr>
          <w:rFonts w:ascii="Calibri" w:eastAsia="Calibri" w:hAnsi="Calibri" w:cs="Calibri"/>
        </w:rPr>
      </w:pPr>
    </w:p>
    <w:p w14:paraId="000000A1" w14:textId="77777777" w:rsidR="001E40A1" w:rsidRDefault="007A0446">
      <w:pPr>
        <w:jc w:val="both"/>
        <w:rPr>
          <w:rFonts w:ascii="Calibri" w:eastAsia="Calibri" w:hAnsi="Calibri" w:cs="Calibri"/>
        </w:rPr>
      </w:pPr>
      <w:r>
        <w:rPr>
          <w:rFonts w:ascii="Calibri" w:eastAsia="Calibri" w:hAnsi="Calibri" w:cs="Calibri"/>
        </w:rPr>
        <w:t xml:space="preserve">These Criteria will be reviewed two years after launch, or potentially earlier if the need arises, at which point the TWG will take stock of issuance that arises in the early stages and any developments in improved methodologies and data that can increase </w:t>
      </w:r>
      <w:r>
        <w:rPr>
          <w:rFonts w:ascii="Calibri" w:eastAsia="Calibri" w:hAnsi="Calibri" w:cs="Calibri"/>
        </w:rPr>
        <w:t>the climate integrity of future bond issuances. After the first review, the Criteria will be reviewed again periodically on a needs basis as technology and the market evolves. As a result, the Criteria are likely to be refined over time, as more informatio</w:t>
      </w:r>
      <w:r>
        <w:rPr>
          <w:rFonts w:ascii="Calibri" w:eastAsia="Calibri" w:hAnsi="Calibri" w:cs="Calibri"/>
        </w:rPr>
        <w:t>n becomes available. However, certification will not be withdrawn retroactively from bonds certified under earlier versions of the Criteria.</w:t>
      </w:r>
    </w:p>
    <w:p w14:paraId="000000A2" w14:textId="77777777" w:rsidR="001E40A1" w:rsidRDefault="007A0446">
      <w:pPr>
        <w:rPr>
          <w:rFonts w:ascii="Calibri" w:eastAsia="Calibri" w:hAnsi="Calibri" w:cs="Calibri"/>
        </w:rPr>
      </w:pPr>
      <w:r>
        <w:br w:type="page"/>
      </w:r>
    </w:p>
    <w:p w14:paraId="000000A3" w14:textId="77777777" w:rsidR="001E40A1" w:rsidRDefault="007A0446">
      <w:pPr>
        <w:pStyle w:val="Heading1"/>
        <w:numPr>
          <w:ilvl w:val="0"/>
          <w:numId w:val="2"/>
        </w:numPr>
      </w:pPr>
      <w:bookmarkStart w:id="9" w:name="_heading=h.2s8eyo1" w:colFirst="0" w:colLast="0"/>
      <w:bookmarkEnd w:id="9"/>
      <w:r>
        <w:lastRenderedPageBreak/>
        <w:t>Sector Overview</w:t>
      </w:r>
    </w:p>
    <w:p w14:paraId="000000A4" w14:textId="77777777" w:rsidR="001E40A1" w:rsidRDefault="001E40A1">
      <w:pPr>
        <w:rPr>
          <w:rFonts w:ascii="Calibri" w:eastAsia="Calibri" w:hAnsi="Calibri" w:cs="Calibri"/>
        </w:rPr>
      </w:pPr>
    </w:p>
    <w:p w14:paraId="000000A5" w14:textId="77777777" w:rsidR="001E40A1" w:rsidRDefault="007A0446">
      <w:pPr>
        <w:jc w:val="both"/>
        <w:rPr>
          <w:rFonts w:ascii="Calibri" w:eastAsia="Calibri" w:hAnsi="Calibri" w:cs="Calibri"/>
        </w:rPr>
      </w:pPr>
      <w:r>
        <w:rPr>
          <w:rFonts w:ascii="Calibri" w:eastAsia="Calibri" w:hAnsi="Calibri" w:cs="Calibri"/>
        </w:rPr>
        <w:t xml:space="preserve">Shipping is defined as maritime transport of cargo and passengers in international and domestic </w:t>
      </w:r>
      <w:r>
        <w:rPr>
          <w:rFonts w:ascii="Calibri" w:eastAsia="Calibri" w:hAnsi="Calibri" w:cs="Calibri"/>
        </w:rPr>
        <w:t>waters. This does not include military or fishing vessels.</w:t>
      </w:r>
      <w:r>
        <w:rPr>
          <w:rFonts w:ascii="Calibri" w:eastAsia="Calibri" w:hAnsi="Calibri" w:cs="Calibri"/>
          <w:color w:val="000000"/>
          <w:vertAlign w:val="superscript"/>
        </w:rPr>
        <w:footnoteReference w:id="6"/>
      </w:r>
      <w:r>
        <w:rPr>
          <w:rFonts w:ascii="Calibri" w:eastAsia="Calibri" w:hAnsi="Calibri" w:cs="Calibri"/>
        </w:rPr>
        <w:t xml:space="preserve"> International shipping is between ports of different countries, whereas domestic shipping is shipping between ports of the same country. By this definition, the same ship may frequently be engage</w:t>
      </w:r>
      <w:r>
        <w:rPr>
          <w:rFonts w:ascii="Calibri" w:eastAsia="Calibri" w:hAnsi="Calibri" w:cs="Calibri"/>
        </w:rPr>
        <w:t>d in both international and domestic shipping operations. This definition is consistent with the IPCC 2006 Guidelines (Second IMO GHG Study 2009).</w:t>
      </w:r>
    </w:p>
    <w:p w14:paraId="000000A6" w14:textId="77777777" w:rsidR="001E40A1" w:rsidRDefault="001E40A1">
      <w:pPr>
        <w:jc w:val="both"/>
        <w:rPr>
          <w:rFonts w:ascii="Calibri" w:eastAsia="Calibri" w:hAnsi="Calibri" w:cs="Calibri"/>
        </w:rPr>
      </w:pPr>
    </w:p>
    <w:p w14:paraId="000000A7" w14:textId="77777777" w:rsidR="001E40A1" w:rsidRDefault="007A0446">
      <w:pPr>
        <w:jc w:val="both"/>
        <w:rPr>
          <w:rFonts w:ascii="Calibri" w:eastAsia="Calibri" w:hAnsi="Calibri" w:cs="Calibri"/>
        </w:rPr>
      </w:pPr>
      <w:r>
        <w:rPr>
          <w:rFonts w:ascii="Calibri" w:eastAsia="Calibri" w:hAnsi="Calibri" w:cs="Calibri"/>
        </w:rPr>
        <w:t>Despite significant climate impacts arising from international shipping, domestic shipping is nonetheless im</w:t>
      </w:r>
      <w:r>
        <w:rPr>
          <w:rFonts w:ascii="Calibri" w:eastAsia="Calibri" w:hAnsi="Calibri" w:cs="Calibri"/>
        </w:rPr>
        <w:t>portant, and the decarbonization of domestic shipping may vary depending on how an individual country’s decarbonization plans prioritise this sector. However, overall guidance can still be taken from these criteria.</w:t>
      </w:r>
    </w:p>
    <w:p w14:paraId="000000A8" w14:textId="77777777" w:rsidR="001E40A1" w:rsidRDefault="001E40A1">
      <w:pPr>
        <w:jc w:val="both"/>
        <w:rPr>
          <w:rFonts w:ascii="Calibri" w:eastAsia="Calibri" w:hAnsi="Calibri" w:cs="Calibri"/>
        </w:rPr>
      </w:pPr>
    </w:p>
    <w:p w14:paraId="000000A9" w14:textId="77777777" w:rsidR="001E40A1" w:rsidRDefault="007A0446">
      <w:pPr>
        <w:jc w:val="both"/>
        <w:rPr>
          <w:rFonts w:ascii="Calibri" w:eastAsia="Calibri" w:hAnsi="Calibri" w:cs="Calibri"/>
        </w:rPr>
      </w:pPr>
      <w:r>
        <w:rPr>
          <w:rFonts w:ascii="Calibri" w:eastAsia="Calibri" w:hAnsi="Calibri" w:cs="Calibri"/>
        </w:rPr>
        <w:t>Global economic activity is the primary</w:t>
      </w:r>
      <w:r>
        <w:rPr>
          <w:rFonts w:ascii="Calibri" w:eastAsia="Calibri" w:hAnsi="Calibri" w:cs="Calibri"/>
        </w:rPr>
        <w:t xml:space="preserve"> driver of international demand for shipping. Maritime transport accounts for approximately 80% of global trade by volume, and 70% by value. In 2017, total volumes transported reached 10.7 billion tons. The UN Conference on Trade and Development (UNCTAD) i</w:t>
      </w:r>
      <w:r>
        <w:rPr>
          <w:rFonts w:ascii="Calibri" w:eastAsia="Calibri" w:hAnsi="Calibri" w:cs="Calibri"/>
        </w:rPr>
        <w:t xml:space="preserve">s forecasting a 3.8 per cent Compound Average Growth Rate (CAGR) for seaborne trade between 2018 and 2023. </w:t>
      </w:r>
    </w:p>
    <w:p w14:paraId="000000AA" w14:textId="77777777" w:rsidR="001E40A1" w:rsidRDefault="001E40A1">
      <w:pPr>
        <w:jc w:val="both"/>
        <w:rPr>
          <w:rFonts w:ascii="Calibri" w:eastAsia="Calibri" w:hAnsi="Calibri" w:cs="Calibri"/>
        </w:rPr>
      </w:pPr>
    </w:p>
    <w:p w14:paraId="000000AB" w14:textId="77777777" w:rsidR="001E40A1" w:rsidRDefault="007A0446">
      <w:pPr>
        <w:jc w:val="both"/>
        <w:rPr>
          <w:rFonts w:ascii="Calibri" w:eastAsia="Calibri" w:hAnsi="Calibri" w:cs="Calibri"/>
        </w:rPr>
      </w:pPr>
      <w:r>
        <w:rPr>
          <w:rFonts w:ascii="Calibri" w:eastAsia="Calibri" w:hAnsi="Calibri" w:cs="Calibri"/>
        </w:rPr>
        <w:t>The world’s global shipping fleet is growing to meet this demand. In 2017, 42 million gross tons were added to global shipping fleet tonnage follow</w:t>
      </w:r>
      <w:r>
        <w:rPr>
          <w:rFonts w:ascii="Calibri" w:eastAsia="Calibri" w:hAnsi="Calibri" w:cs="Calibri"/>
        </w:rPr>
        <w:t>ing an increase in new deliveries and decline in demolition activity.</w:t>
      </w:r>
      <w:r>
        <w:rPr>
          <w:rFonts w:ascii="Calibri" w:eastAsia="Calibri" w:hAnsi="Calibri" w:cs="Calibri"/>
          <w:color w:val="000000"/>
          <w:vertAlign w:val="superscript"/>
        </w:rPr>
        <w:footnoteReference w:id="7"/>
      </w:r>
      <w:r>
        <w:rPr>
          <w:rFonts w:ascii="Calibri" w:eastAsia="Calibri" w:hAnsi="Calibri" w:cs="Calibri"/>
        </w:rPr>
        <w:t xml:space="preserve"> Despite this growth, the UNCTAD also anticipates various political risks and disruptions to the industry including the looming trade tensions between the United States of America and C</w:t>
      </w:r>
      <w:r>
        <w:rPr>
          <w:rFonts w:ascii="Calibri" w:eastAsia="Calibri" w:hAnsi="Calibri" w:cs="Calibri"/>
        </w:rPr>
        <w:t xml:space="preserve">hina, Canada, Mexico and the European Union.  </w:t>
      </w:r>
    </w:p>
    <w:p w14:paraId="000000AC" w14:textId="77777777" w:rsidR="001E40A1" w:rsidRDefault="007A0446">
      <w:pPr>
        <w:jc w:val="both"/>
        <w:rPr>
          <w:rFonts w:ascii="Calibri" w:eastAsia="Calibri" w:hAnsi="Calibri" w:cs="Calibri"/>
        </w:rPr>
      </w:pPr>
      <w:r>
        <w:rPr>
          <w:rFonts w:ascii="Calibri" w:eastAsia="Calibri" w:hAnsi="Calibri" w:cs="Calibri"/>
        </w:rPr>
        <w:br/>
        <w:t>The shipping industry is characterized by ship owners, operators, freight forwarders, shipping customers, maritime services, charterers, ports and terminal infrastructure, corporate services, and manufacturer</w:t>
      </w:r>
      <w:r>
        <w:rPr>
          <w:rFonts w:ascii="Calibri" w:eastAsia="Calibri" w:hAnsi="Calibri" w:cs="Calibri"/>
        </w:rPr>
        <w:t xml:space="preserve">s. In terms of market characteristics, the industry is concentrated around a relatively small number of actors, despite its global impact. The top five ship-owning countries (Greece, Japan, China, Germany and Singapore) account for almost 50% of the world </w:t>
      </w:r>
      <w:r>
        <w:rPr>
          <w:rFonts w:ascii="Calibri" w:eastAsia="Calibri" w:hAnsi="Calibri" w:cs="Calibri"/>
        </w:rPr>
        <w:t>fleet in dead-weight tonnage. The top ten cargo carriers hold a combined market share of 68.6% and operate approximately 35% of the world’s fleet.</w:t>
      </w:r>
      <w:r>
        <w:rPr>
          <w:rFonts w:ascii="Calibri" w:eastAsia="Calibri" w:hAnsi="Calibri" w:cs="Calibri"/>
          <w:color w:val="000000"/>
          <w:vertAlign w:val="superscript"/>
        </w:rPr>
        <w:footnoteReference w:id="8"/>
      </w:r>
    </w:p>
    <w:p w14:paraId="000000AD" w14:textId="77777777" w:rsidR="001E40A1" w:rsidRDefault="001E40A1">
      <w:pPr>
        <w:pStyle w:val="Heading2"/>
        <w:rPr>
          <w:rFonts w:ascii="Calibri" w:eastAsia="Calibri" w:hAnsi="Calibri" w:cs="Calibri"/>
          <w:sz w:val="20"/>
          <w:szCs w:val="20"/>
        </w:rPr>
      </w:pPr>
    </w:p>
    <w:p w14:paraId="000000AE" w14:textId="77777777" w:rsidR="001E40A1" w:rsidRDefault="007A0446">
      <w:pPr>
        <w:pStyle w:val="Heading2"/>
        <w:numPr>
          <w:ilvl w:val="1"/>
          <w:numId w:val="2"/>
        </w:numPr>
        <w:ind w:left="426"/>
        <w:rPr>
          <w:rFonts w:ascii="Calibri" w:eastAsia="Calibri" w:hAnsi="Calibri" w:cs="Calibri"/>
          <w:sz w:val="20"/>
          <w:szCs w:val="20"/>
        </w:rPr>
      </w:pPr>
      <w:bookmarkStart w:id="10" w:name="_heading=h.17dp8vu" w:colFirst="0" w:colLast="0"/>
      <w:bookmarkEnd w:id="10"/>
      <w:r>
        <w:rPr>
          <w:rFonts w:ascii="Calibri" w:eastAsia="Calibri" w:hAnsi="Calibri" w:cs="Calibri"/>
          <w:sz w:val="20"/>
          <w:szCs w:val="20"/>
        </w:rPr>
        <w:t>The Future of Shipping</w:t>
      </w:r>
    </w:p>
    <w:p w14:paraId="000000AF" w14:textId="77777777" w:rsidR="001E40A1" w:rsidRDefault="001E40A1">
      <w:pPr>
        <w:rPr>
          <w:rFonts w:ascii="Calibri" w:eastAsia="Calibri" w:hAnsi="Calibri" w:cs="Calibri"/>
        </w:rPr>
      </w:pPr>
    </w:p>
    <w:p w14:paraId="000000B0" w14:textId="77777777" w:rsidR="001E40A1" w:rsidRDefault="007A0446">
      <w:pPr>
        <w:jc w:val="both"/>
        <w:rPr>
          <w:rFonts w:ascii="Calibri" w:eastAsia="Calibri" w:hAnsi="Calibri" w:cs="Calibri"/>
        </w:rPr>
      </w:pPr>
      <w:r>
        <w:rPr>
          <w:rFonts w:ascii="Calibri" w:eastAsia="Calibri" w:hAnsi="Calibri" w:cs="Calibri"/>
        </w:rPr>
        <w:t xml:space="preserve">The future of the maritime industry remains unclear, but industry leaders have an opportunity to define what that future looks like for themselves. The digitization of the shipping sector offers immense growth and innovation potential. Autonomous shipping </w:t>
      </w:r>
      <w:r>
        <w:rPr>
          <w:rFonts w:ascii="Calibri" w:eastAsia="Calibri" w:hAnsi="Calibri" w:cs="Calibri"/>
        </w:rPr>
        <w:t>and blockchain technology are showing considerable promise for application within the shipping industry and the industry is constantly seeking new ways to apply technological advances and adapt to a changing world. In particular, the Global Maritime Issues</w:t>
      </w:r>
      <w:r>
        <w:rPr>
          <w:rFonts w:ascii="Calibri" w:eastAsia="Calibri" w:hAnsi="Calibri" w:cs="Calibri"/>
        </w:rPr>
        <w:t xml:space="preserve"> Monitor 2018 identified ‘big data’ as having the highest potential impact and likelihood of occurring over the next ten years.</w:t>
      </w:r>
      <w:r>
        <w:rPr>
          <w:rFonts w:ascii="Calibri" w:eastAsia="Calibri" w:hAnsi="Calibri" w:cs="Calibri"/>
          <w:color w:val="000000"/>
          <w:vertAlign w:val="superscript"/>
        </w:rPr>
        <w:footnoteReference w:id="9"/>
      </w:r>
      <w:r>
        <w:rPr>
          <w:rFonts w:ascii="Calibri" w:eastAsia="Calibri" w:hAnsi="Calibri" w:cs="Calibri"/>
        </w:rPr>
        <w:t xml:space="preserve"> </w:t>
      </w:r>
    </w:p>
    <w:p w14:paraId="000000B1" w14:textId="77777777" w:rsidR="001E40A1" w:rsidRDefault="007A0446">
      <w:pPr>
        <w:jc w:val="both"/>
        <w:rPr>
          <w:rFonts w:ascii="Calibri" w:eastAsia="Calibri" w:hAnsi="Calibri" w:cs="Calibri"/>
        </w:rPr>
      </w:pPr>
      <w:r>
        <w:rPr>
          <w:rFonts w:ascii="Calibri" w:eastAsia="Calibri" w:hAnsi="Calibri" w:cs="Calibri"/>
        </w:rPr>
        <w:br/>
        <w:t>The shipping industry has also recognised that climate change is emerging as a major threat to operations and profitability.</w:t>
      </w:r>
      <w:r>
        <w:rPr>
          <w:rFonts w:ascii="Calibri" w:eastAsia="Calibri" w:hAnsi="Calibri" w:cs="Calibri"/>
        </w:rPr>
        <w:t xml:space="preserve"> More intense storms, rising sea levels and changing shipping routes will force the industry to understand and raise awareness of climate risk and demonstrate the opportunities in taking leadership and action. This will be discussed in more detail in Secti</w:t>
      </w:r>
      <w:r>
        <w:rPr>
          <w:rFonts w:ascii="Calibri" w:eastAsia="Calibri" w:hAnsi="Calibri" w:cs="Calibri"/>
        </w:rPr>
        <w:t xml:space="preserve">on 2.4. </w:t>
      </w:r>
    </w:p>
    <w:p w14:paraId="000000B2" w14:textId="77777777" w:rsidR="001E40A1" w:rsidRDefault="001E40A1">
      <w:pPr>
        <w:rPr>
          <w:rFonts w:ascii="Calibri" w:eastAsia="Calibri" w:hAnsi="Calibri" w:cs="Calibri"/>
        </w:rPr>
      </w:pPr>
    </w:p>
    <w:p w14:paraId="000000B3" w14:textId="77777777" w:rsidR="001E40A1" w:rsidRDefault="007A0446">
      <w:pPr>
        <w:pStyle w:val="Heading2"/>
        <w:numPr>
          <w:ilvl w:val="1"/>
          <w:numId w:val="2"/>
        </w:numPr>
        <w:ind w:left="426"/>
        <w:rPr>
          <w:rFonts w:ascii="Calibri" w:eastAsia="Calibri" w:hAnsi="Calibri" w:cs="Calibri"/>
          <w:sz w:val="20"/>
          <w:szCs w:val="20"/>
        </w:rPr>
      </w:pPr>
      <w:bookmarkStart w:id="11" w:name="_heading=h.3rdcrjn" w:colFirst="0" w:colLast="0"/>
      <w:bookmarkEnd w:id="11"/>
      <w:r>
        <w:rPr>
          <w:rFonts w:ascii="Calibri" w:eastAsia="Calibri" w:hAnsi="Calibri" w:cs="Calibri"/>
          <w:sz w:val="20"/>
          <w:szCs w:val="20"/>
        </w:rPr>
        <w:t xml:space="preserve">Mitigation Potential and GHG Impacts of Shipping </w:t>
      </w:r>
    </w:p>
    <w:p w14:paraId="000000B4" w14:textId="77777777" w:rsidR="001E40A1" w:rsidRDefault="001E40A1">
      <w:pPr>
        <w:rPr>
          <w:rFonts w:ascii="Calibri" w:eastAsia="Calibri" w:hAnsi="Calibri" w:cs="Calibri"/>
        </w:rPr>
      </w:pPr>
    </w:p>
    <w:p w14:paraId="000000B5" w14:textId="77777777" w:rsidR="001E40A1" w:rsidRDefault="007A0446">
      <w:pPr>
        <w:jc w:val="both"/>
        <w:rPr>
          <w:rFonts w:ascii="Calibri" w:eastAsia="Calibri" w:hAnsi="Calibri" w:cs="Calibri"/>
        </w:rPr>
      </w:pPr>
      <w:r>
        <w:rPr>
          <w:rFonts w:ascii="Calibri" w:eastAsia="Calibri" w:hAnsi="Calibri" w:cs="Calibri"/>
        </w:rPr>
        <w:t>While shipping is the lowest emitting for of transport, especially for international/trans-continental shipping, decarbonisation of the shipping sector will remain crucial to meeting internationa</w:t>
      </w:r>
      <w:r>
        <w:rPr>
          <w:rFonts w:ascii="Calibri" w:eastAsia="Calibri" w:hAnsi="Calibri" w:cs="Calibri"/>
        </w:rPr>
        <w:t xml:space="preserve">l commitments to mitigating climate change. According to the International Maritime Organisation (IMO), the shipping industry’s governing body, </w:t>
      </w:r>
      <w:r>
        <w:rPr>
          <w:rFonts w:ascii="Calibri" w:eastAsia="Calibri" w:hAnsi="Calibri" w:cs="Calibri"/>
        </w:rPr>
        <w:lastRenderedPageBreak/>
        <w:t>the sector currently accounts for approximately 2.2% of global emissions. Left unchecked, shipping emissions are</w:t>
      </w:r>
      <w:r>
        <w:rPr>
          <w:rFonts w:ascii="Calibri" w:eastAsia="Calibri" w:hAnsi="Calibri" w:cs="Calibri"/>
        </w:rPr>
        <w:t xml:space="preserve"> expected to grow by 50-250% by 2050.</w:t>
      </w:r>
      <w:r>
        <w:rPr>
          <w:rFonts w:ascii="Calibri" w:eastAsia="Calibri" w:hAnsi="Calibri" w:cs="Calibri"/>
          <w:color w:val="000000"/>
          <w:vertAlign w:val="superscript"/>
        </w:rPr>
        <w:footnoteReference w:id="10"/>
      </w:r>
      <w:r>
        <w:rPr>
          <w:rFonts w:ascii="Calibri" w:eastAsia="Calibri" w:hAnsi="Calibri" w:cs="Calibri"/>
        </w:rPr>
        <w:t xml:space="preserve"> </w:t>
      </w:r>
    </w:p>
    <w:p w14:paraId="000000B6" w14:textId="77777777" w:rsidR="001E40A1" w:rsidRDefault="001E40A1">
      <w:pPr>
        <w:jc w:val="both"/>
        <w:rPr>
          <w:rFonts w:ascii="Calibri" w:eastAsia="Calibri" w:hAnsi="Calibri" w:cs="Calibri"/>
        </w:rPr>
      </w:pPr>
    </w:p>
    <w:p w14:paraId="000000B7" w14:textId="77777777" w:rsidR="001E40A1" w:rsidRDefault="007A0446">
      <w:pPr>
        <w:jc w:val="both"/>
        <w:rPr>
          <w:rFonts w:ascii="Calibri" w:eastAsia="Calibri" w:hAnsi="Calibri" w:cs="Calibri"/>
        </w:rPr>
      </w:pPr>
      <w:r>
        <w:rPr>
          <w:rFonts w:ascii="Calibri" w:eastAsia="Calibri" w:hAnsi="Calibri" w:cs="Calibri"/>
        </w:rPr>
        <w:t>CO2 is the largest component of greenhouse gas emissions in shipping (98%). The multi-year average estimate for all shipping for 2007–2012 was 1,015 million tonnes CO2 and 1,036 million tonnes CO2e for GHGs combining CO2, CH4 (methane) and N2O (nitrous oxi</w:t>
      </w:r>
      <w:r>
        <w:rPr>
          <w:rFonts w:ascii="Calibri" w:eastAsia="Calibri" w:hAnsi="Calibri" w:cs="Calibri"/>
        </w:rPr>
        <w:t>de).</w:t>
      </w:r>
      <w:r>
        <w:rPr>
          <w:rFonts w:ascii="Calibri" w:eastAsia="Calibri" w:hAnsi="Calibri" w:cs="Calibri"/>
          <w:color w:val="000000"/>
          <w:vertAlign w:val="superscript"/>
        </w:rPr>
        <w:footnoteReference w:id="11"/>
      </w:r>
      <w:r>
        <w:rPr>
          <w:rFonts w:ascii="Calibri" w:eastAsia="Calibri" w:hAnsi="Calibri" w:cs="Calibri"/>
        </w:rPr>
        <w:t xml:space="preserve"> </w:t>
      </w:r>
    </w:p>
    <w:p w14:paraId="000000B8" w14:textId="77777777" w:rsidR="001E40A1" w:rsidRDefault="001E40A1">
      <w:pPr>
        <w:jc w:val="both"/>
        <w:rPr>
          <w:rFonts w:ascii="Calibri" w:eastAsia="Calibri" w:hAnsi="Calibri" w:cs="Calibri"/>
        </w:rPr>
      </w:pPr>
    </w:p>
    <w:p w14:paraId="000000B9" w14:textId="77777777" w:rsidR="001E40A1" w:rsidRDefault="007A0446">
      <w:pPr>
        <w:jc w:val="both"/>
        <w:rPr>
          <w:rFonts w:ascii="Calibri" w:eastAsia="Calibri" w:hAnsi="Calibri" w:cs="Calibri"/>
        </w:rPr>
      </w:pPr>
      <w:r>
        <w:rPr>
          <w:rFonts w:ascii="Calibri" w:eastAsia="Calibri" w:hAnsi="Calibri" w:cs="Calibri"/>
        </w:rPr>
        <w:t xml:space="preserve">However, methane (CH4) emissions from ships increased over this period (particularly over 2009–2012) due to increased shipping activity associated with the transport of gaseous cargoes by liquefied gas tankers due to methane slip. There is a risk </w:t>
      </w:r>
      <w:r>
        <w:rPr>
          <w:rFonts w:ascii="Calibri" w:eastAsia="Calibri" w:hAnsi="Calibri" w:cs="Calibri"/>
        </w:rPr>
        <w:t>of this trend continuing in the future if shipping moves to LNG-powered ships.</w:t>
      </w:r>
    </w:p>
    <w:p w14:paraId="000000BA" w14:textId="77777777" w:rsidR="001E40A1" w:rsidRDefault="001E40A1">
      <w:pPr>
        <w:rPr>
          <w:rFonts w:ascii="Calibri" w:eastAsia="Calibri" w:hAnsi="Calibri" w:cs="Calibri"/>
        </w:rPr>
      </w:pPr>
    </w:p>
    <w:p w14:paraId="000000BB" w14:textId="77777777" w:rsidR="001E40A1" w:rsidRDefault="007A0446">
      <w:pPr>
        <w:rPr>
          <w:rFonts w:ascii="Calibri" w:eastAsia="Calibri" w:hAnsi="Calibri" w:cs="Calibri"/>
        </w:rPr>
      </w:pPr>
      <w:r>
        <w:rPr>
          <w:rFonts w:ascii="Calibri" w:eastAsia="Calibri" w:hAnsi="Calibri" w:cs="Calibri"/>
        </w:rPr>
        <w:t>There is however, potential for the sector to make significant GHG reductions. These can be achieved through a combination of:</w:t>
      </w:r>
    </w:p>
    <w:p w14:paraId="000000BC" w14:textId="77777777" w:rsidR="001E40A1" w:rsidRDefault="007A04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Increasing the energy efficiency of shipping</w:t>
      </w:r>
    </w:p>
    <w:p w14:paraId="000000BD" w14:textId="77777777" w:rsidR="001E40A1" w:rsidRDefault="007A04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Redu</w:t>
      </w:r>
      <w:r>
        <w:rPr>
          <w:rFonts w:ascii="Calibri" w:eastAsia="Calibri" w:hAnsi="Calibri" w:cs="Calibri"/>
          <w:color w:val="000000"/>
        </w:rPr>
        <w:t>cing the GHG intensity of the energy used by ships</w:t>
      </w:r>
    </w:p>
    <w:p w14:paraId="000000BE" w14:textId="77777777" w:rsidR="001E40A1" w:rsidRDefault="001E40A1">
      <w:pPr>
        <w:pBdr>
          <w:top w:val="nil"/>
          <w:left w:val="nil"/>
          <w:bottom w:val="nil"/>
          <w:right w:val="nil"/>
          <w:between w:val="nil"/>
        </w:pBdr>
        <w:ind w:left="720"/>
        <w:rPr>
          <w:rFonts w:ascii="Calibri" w:eastAsia="Calibri" w:hAnsi="Calibri" w:cs="Calibri"/>
          <w:color w:val="000000"/>
        </w:rPr>
      </w:pPr>
    </w:p>
    <w:p w14:paraId="000000BF" w14:textId="77777777" w:rsidR="001E40A1" w:rsidRDefault="007A0446">
      <w:pPr>
        <w:jc w:val="both"/>
        <w:rPr>
          <w:rFonts w:ascii="Calibri" w:eastAsia="Calibri" w:hAnsi="Calibri" w:cs="Calibri"/>
        </w:rPr>
      </w:pPr>
      <w:r>
        <w:rPr>
          <w:rFonts w:ascii="Calibri" w:eastAsia="Calibri" w:hAnsi="Calibri" w:cs="Calibri"/>
        </w:rPr>
        <w:t>The former can be achieved by technologies and operational interventions. Examples of technologies include equipment which can improve the hull’s efficiency, the propulsion efficiency, or the efficiency of the machinery used to convert fuel into propulsive</w:t>
      </w:r>
      <w:r>
        <w:rPr>
          <w:rFonts w:ascii="Calibri" w:eastAsia="Calibri" w:hAnsi="Calibri" w:cs="Calibri"/>
        </w:rPr>
        <w:t xml:space="preserve"> or auxiliary power (e.g. the engine). Operational interventions include reduction or optimisation of speed, maintenance programmes on hull coatings and machinery, trim and draught management, as well as fleet wide strategies enabling just in time arrival </w:t>
      </w:r>
      <w:r>
        <w:rPr>
          <w:rFonts w:ascii="Calibri" w:eastAsia="Calibri" w:hAnsi="Calibri" w:cs="Calibri"/>
        </w:rPr>
        <w:t xml:space="preserve">at ports. </w:t>
      </w:r>
    </w:p>
    <w:p w14:paraId="000000C0" w14:textId="77777777" w:rsidR="001E40A1" w:rsidRDefault="001E40A1">
      <w:pPr>
        <w:jc w:val="both"/>
        <w:rPr>
          <w:rFonts w:ascii="Calibri" w:eastAsia="Calibri" w:hAnsi="Calibri" w:cs="Calibri"/>
        </w:rPr>
      </w:pPr>
    </w:p>
    <w:p w14:paraId="000000C1" w14:textId="77777777" w:rsidR="001E40A1" w:rsidRDefault="007A0446">
      <w:pPr>
        <w:jc w:val="both"/>
        <w:rPr>
          <w:rFonts w:ascii="Calibri" w:eastAsia="Calibri" w:hAnsi="Calibri" w:cs="Calibri"/>
        </w:rPr>
      </w:pPr>
      <w:r>
        <w:rPr>
          <w:rFonts w:ascii="Calibri" w:eastAsia="Calibri" w:hAnsi="Calibri" w:cs="Calibri"/>
        </w:rPr>
        <w:t>However, while the potential for significant GHG reduction from efficiency gains is important, it is ultimately limited and will not enable significant decarbonisation in its own right.  We also recognise that refrigerated container units (reef</w:t>
      </w:r>
      <w:r>
        <w:rPr>
          <w:rFonts w:ascii="Calibri" w:eastAsia="Calibri" w:hAnsi="Calibri" w:cs="Calibri"/>
        </w:rPr>
        <w:t xml:space="preserve">ers) are used extensively across the shipping sector and present a substantial opportunity to reduce emissions due to increased energy consumption for cooling and leakage of refrigerant. This technology segment intersects with various transport modalities </w:t>
      </w:r>
      <w:r>
        <w:rPr>
          <w:rFonts w:ascii="Calibri" w:eastAsia="Calibri" w:hAnsi="Calibri" w:cs="Calibri"/>
        </w:rPr>
        <w:t xml:space="preserve">(including road freight and rail). The present criteria do not provide guidance on measuring or certifying the contribution of improvements to reefer performance, but the need for further work in this segment is recognised. </w:t>
      </w:r>
    </w:p>
    <w:p w14:paraId="000000C2" w14:textId="77777777" w:rsidR="001E40A1" w:rsidRDefault="001E40A1">
      <w:pPr>
        <w:jc w:val="both"/>
        <w:rPr>
          <w:rFonts w:ascii="Calibri" w:eastAsia="Calibri" w:hAnsi="Calibri" w:cs="Calibri"/>
        </w:rPr>
      </w:pPr>
    </w:p>
    <w:p w14:paraId="000000C3" w14:textId="77777777" w:rsidR="001E40A1" w:rsidRDefault="007A0446">
      <w:pPr>
        <w:jc w:val="both"/>
        <w:rPr>
          <w:rFonts w:ascii="Calibri" w:eastAsia="Calibri" w:hAnsi="Calibri" w:cs="Calibri"/>
        </w:rPr>
      </w:pPr>
      <w:r>
        <w:rPr>
          <w:rFonts w:ascii="Calibri" w:eastAsia="Calibri" w:hAnsi="Calibri" w:cs="Calibri"/>
        </w:rPr>
        <w:t>Table 1 outlines for an exampl</w:t>
      </w:r>
      <w:r>
        <w:rPr>
          <w:rFonts w:ascii="Calibri" w:eastAsia="Calibri" w:hAnsi="Calibri" w:cs="Calibri"/>
        </w:rPr>
        <w:t>e ship type (a Medium Range Tanker), the carbon intensity values as a result of varying speed, the use of energy efficiency technologies and the adoption of lower carbon fuels (i.e., a 50% and 75% lower carbon factor than current fuels) relative to the bas</w:t>
      </w:r>
      <w:r>
        <w:rPr>
          <w:rFonts w:ascii="Calibri" w:eastAsia="Calibri" w:hAnsi="Calibri" w:cs="Calibri"/>
        </w:rPr>
        <w:t>eline specification.</w:t>
      </w:r>
    </w:p>
    <w:p w14:paraId="000000C4" w14:textId="77777777" w:rsidR="001E40A1" w:rsidRDefault="001E40A1">
      <w:pPr>
        <w:jc w:val="both"/>
        <w:rPr>
          <w:rFonts w:ascii="Calibri" w:eastAsia="Calibri" w:hAnsi="Calibri" w:cs="Calibri"/>
        </w:rPr>
      </w:pPr>
    </w:p>
    <w:p w14:paraId="000000C5" w14:textId="77777777" w:rsidR="001E40A1" w:rsidRDefault="007A0446">
      <w:pPr>
        <w:jc w:val="both"/>
        <w:rPr>
          <w:rFonts w:ascii="Calibri" w:eastAsia="Calibri" w:hAnsi="Calibri" w:cs="Calibri"/>
        </w:rPr>
      </w:pPr>
      <w:r>
        <w:rPr>
          <w:rFonts w:ascii="Calibri" w:eastAsia="Calibri" w:hAnsi="Calibri" w:cs="Calibri"/>
        </w:rPr>
        <w:t>For example, applying a speed reduction from the baseline of 12.8 knots to 11.3 knots results in an intensity value that is 80% of the baseline value, or a 20% reduction in carbon intensity. Speed reductions and energy efficiency tech</w:t>
      </w:r>
      <w:r>
        <w:rPr>
          <w:rFonts w:ascii="Calibri" w:eastAsia="Calibri" w:hAnsi="Calibri" w:cs="Calibri"/>
        </w:rPr>
        <w:t xml:space="preserve">nology in combination with wind propulsion could only reduce carbon intensity by between 30% and 70% relative to the 2010 baseline design and operational specification (shown in yellow). </w:t>
      </w:r>
    </w:p>
    <w:p w14:paraId="000000C6" w14:textId="77777777" w:rsidR="001E40A1" w:rsidRDefault="001E40A1">
      <w:pPr>
        <w:jc w:val="both"/>
        <w:rPr>
          <w:rFonts w:ascii="Calibri" w:eastAsia="Calibri" w:hAnsi="Calibri" w:cs="Calibri"/>
        </w:rPr>
      </w:pPr>
    </w:p>
    <w:p w14:paraId="000000C7" w14:textId="77777777" w:rsidR="001E40A1" w:rsidRDefault="007A0446">
      <w:pPr>
        <w:jc w:val="both"/>
        <w:rPr>
          <w:rFonts w:ascii="Calibri" w:eastAsia="Calibri" w:hAnsi="Calibri" w:cs="Calibri"/>
        </w:rPr>
      </w:pPr>
      <w:r>
        <w:rPr>
          <w:rFonts w:ascii="Calibri" w:eastAsia="Calibri" w:hAnsi="Calibri" w:cs="Calibri"/>
        </w:rPr>
        <w:t>To achieve such a reduction requires a large reduction in operating</w:t>
      </w:r>
      <w:r>
        <w:rPr>
          <w:rFonts w:ascii="Calibri" w:eastAsia="Calibri" w:hAnsi="Calibri" w:cs="Calibri"/>
        </w:rPr>
        <w:t xml:space="preserve"> speed which could be undesirable for commercial and operational reasons. Significant further reductions beyond 70%, including at higher operating speeds closer to those used today, are only achievable when use of lower carbon factor fuels was explored (sh</w:t>
      </w:r>
      <w:r>
        <w:rPr>
          <w:rFonts w:ascii="Calibri" w:eastAsia="Calibri" w:hAnsi="Calibri" w:cs="Calibri"/>
        </w:rPr>
        <w:t>own in green).</w:t>
      </w:r>
    </w:p>
    <w:p w14:paraId="000000C8" w14:textId="77777777" w:rsidR="001E40A1" w:rsidRDefault="007A0446">
      <w:pPr>
        <w:rPr>
          <w:rFonts w:ascii="Calibri" w:eastAsia="Calibri" w:hAnsi="Calibri" w:cs="Calibri"/>
        </w:rPr>
      </w:pPr>
      <w:r>
        <w:br w:type="page"/>
      </w:r>
    </w:p>
    <w:p w14:paraId="000000C9" w14:textId="77777777" w:rsidR="001E40A1" w:rsidRDefault="001E40A1">
      <w:pPr>
        <w:rPr>
          <w:rFonts w:ascii="Calibri" w:eastAsia="Calibri" w:hAnsi="Calibri" w:cs="Calibri"/>
        </w:rPr>
      </w:pPr>
    </w:p>
    <w:p w14:paraId="000000CA" w14:textId="77777777" w:rsidR="001E40A1" w:rsidRDefault="007A0446">
      <w:pPr>
        <w:rPr>
          <w:rFonts w:ascii="Calibri" w:eastAsia="Calibri" w:hAnsi="Calibri" w:cs="Calibri"/>
        </w:rPr>
      </w:pPr>
      <w:r>
        <w:rPr>
          <w:rFonts w:ascii="Calibri" w:eastAsia="Calibri" w:hAnsi="Calibri" w:cs="Calibri"/>
          <w:b/>
          <w:color w:val="000000"/>
        </w:rPr>
        <w:t>Table 1: Energy Efficiency Operational Indicator (EEOI)</w:t>
      </w:r>
      <w:r>
        <w:rPr>
          <w:rFonts w:ascii="Helvetica Neue" w:eastAsia="Helvetica Neue" w:hAnsi="Helvetica Neue" w:cs="Helvetica Neue"/>
          <w:color w:val="000000"/>
          <w:sz w:val="18"/>
          <w:szCs w:val="18"/>
          <w:vertAlign w:val="superscript"/>
        </w:rPr>
        <w:footnoteReference w:id="12"/>
      </w:r>
      <w:r>
        <w:rPr>
          <w:rFonts w:ascii="Calibri" w:eastAsia="Calibri" w:hAnsi="Calibri" w:cs="Calibri"/>
          <w:color w:val="000000"/>
        </w:rPr>
        <w:t xml:space="preserve"> </w:t>
      </w:r>
      <w:r>
        <w:rPr>
          <w:rFonts w:ascii="Calibri" w:eastAsia="Calibri" w:hAnsi="Calibri" w:cs="Calibri"/>
          <w:b/>
          <w:color w:val="000000"/>
        </w:rPr>
        <w:t>value indexed to the baseline, 2010 specification, taking into account potential impacts due to technology, operation and energy/fuel choices for a Medium Range tanker</w:t>
      </w:r>
      <w:r>
        <w:rPr>
          <w:rFonts w:ascii="Calibri" w:eastAsia="Calibri" w:hAnsi="Calibri" w:cs="Calibri"/>
          <w:color w:val="000000"/>
          <w:vertAlign w:val="superscript"/>
        </w:rPr>
        <w:footnoteReference w:id="13"/>
      </w:r>
      <w:r>
        <w:rPr>
          <w:rFonts w:ascii="Calibri" w:eastAsia="Calibri" w:hAnsi="Calibri" w:cs="Calibri"/>
        </w:rPr>
        <w:t xml:space="preserve"> </w:t>
      </w:r>
    </w:p>
    <w:p w14:paraId="000000CB" w14:textId="77777777" w:rsidR="001E40A1" w:rsidRDefault="001E40A1">
      <w:pPr>
        <w:rPr>
          <w:rFonts w:ascii="Calibri" w:eastAsia="Calibri" w:hAnsi="Calibri" w:cs="Calibri"/>
        </w:rPr>
      </w:pPr>
    </w:p>
    <w:p w14:paraId="000000CC" w14:textId="77777777" w:rsidR="001E40A1" w:rsidRDefault="007A0446">
      <w:pPr>
        <w:rPr>
          <w:rFonts w:ascii="Calibri" w:eastAsia="Calibri" w:hAnsi="Calibri" w:cs="Calibri"/>
        </w:rPr>
      </w:pPr>
      <w:r>
        <w:rPr>
          <w:rFonts w:ascii="Calibri" w:eastAsia="Calibri" w:hAnsi="Calibri" w:cs="Calibri"/>
          <w:noProof/>
        </w:rPr>
        <w:drawing>
          <wp:inline distT="0" distB="0" distL="0" distR="0">
            <wp:extent cx="6432183" cy="3410161"/>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l="4106"/>
                    <a:stretch>
                      <a:fillRect/>
                    </a:stretch>
                  </pic:blipFill>
                  <pic:spPr>
                    <a:xfrm>
                      <a:off x="0" y="0"/>
                      <a:ext cx="6432183" cy="3410161"/>
                    </a:xfrm>
                    <a:prstGeom prst="rect">
                      <a:avLst/>
                    </a:prstGeom>
                    <a:ln/>
                  </pic:spPr>
                </pic:pic>
              </a:graphicData>
            </a:graphic>
          </wp:inline>
        </w:drawing>
      </w:r>
    </w:p>
    <w:p w14:paraId="000000CD" w14:textId="77777777" w:rsidR="001E40A1" w:rsidRDefault="001E40A1">
      <w:pPr>
        <w:rPr>
          <w:rFonts w:ascii="Calibri" w:eastAsia="Calibri" w:hAnsi="Calibri" w:cs="Calibri"/>
        </w:rPr>
      </w:pPr>
    </w:p>
    <w:p w14:paraId="000000CE" w14:textId="77777777" w:rsidR="001E40A1" w:rsidRDefault="007A0446">
      <w:pPr>
        <w:rPr>
          <w:rFonts w:ascii="Calibri" w:eastAsia="Calibri" w:hAnsi="Calibri" w:cs="Calibri"/>
        </w:rPr>
      </w:pPr>
      <w:r>
        <w:rPr>
          <w:rFonts w:ascii="Calibri" w:eastAsia="Calibri" w:hAnsi="Calibri" w:cs="Calibri"/>
        </w:rPr>
        <w:t xml:space="preserve">Note: Table 1 serves only to illustrate the impacts of technology, operation and fuel choices on a vessel’s EEOI, the reference to a Medium Range tanker is illustrative but does not negate the categorical exclusion of dedicated fossil fuel carriers.  </w:t>
      </w:r>
    </w:p>
    <w:p w14:paraId="000000CF" w14:textId="77777777" w:rsidR="001E40A1" w:rsidRDefault="001E40A1">
      <w:pPr>
        <w:rPr>
          <w:rFonts w:ascii="Calibri" w:eastAsia="Calibri" w:hAnsi="Calibri" w:cs="Calibri"/>
        </w:rPr>
      </w:pPr>
    </w:p>
    <w:p w14:paraId="000000D0" w14:textId="77777777" w:rsidR="001E40A1" w:rsidRDefault="007A0446">
      <w:pPr>
        <w:rPr>
          <w:rFonts w:ascii="Calibri" w:eastAsia="Calibri" w:hAnsi="Calibri" w:cs="Calibri"/>
        </w:rPr>
      </w:pPr>
      <w:r>
        <w:rPr>
          <w:rFonts w:ascii="Calibri" w:eastAsia="Calibri" w:hAnsi="Calibri" w:cs="Calibri"/>
        </w:rPr>
        <w:t>The</w:t>
      </w:r>
      <w:r>
        <w:rPr>
          <w:rFonts w:ascii="Calibri" w:eastAsia="Calibri" w:hAnsi="Calibri" w:cs="Calibri"/>
        </w:rPr>
        <w:t>refore, in addition to increasing efficiency, the sector will need to switch to energy and fuel which produces lower GHG emissions when used on board. Options include:</w:t>
      </w:r>
    </w:p>
    <w:p w14:paraId="000000D1" w14:textId="77777777" w:rsidR="001E40A1" w:rsidRDefault="007A04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Harvesting of renewable energy on board (wind propulsion, solar, wave)</w:t>
      </w:r>
    </w:p>
    <w:p w14:paraId="000000D2" w14:textId="77777777" w:rsidR="001E40A1" w:rsidRDefault="007A04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Advanced Bioenergy</w:t>
      </w:r>
      <w:r>
        <w:rPr>
          <w:rFonts w:ascii="Helvetica Neue" w:eastAsia="Helvetica Neue" w:hAnsi="Helvetica Neue" w:cs="Helvetica Neue"/>
          <w:color w:val="000000"/>
          <w:sz w:val="18"/>
          <w:szCs w:val="18"/>
          <w:vertAlign w:val="superscript"/>
        </w:rPr>
        <w:footnoteReference w:id="14"/>
      </w:r>
    </w:p>
    <w:p w14:paraId="000000D3" w14:textId="77777777" w:rsidR="001E40A1" w:rsidRDefault="007A04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Battery energy storage </w:t>
      </w:r>
    </w:p>
    <w:p w14:paraId="000000D4" w14:textId="77777777" w:rsidR="001E40A1" w:rsidRDefault="007A044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Synthetic or e-fuels (sometimes also called power-to-liquid or power-to-gas), made from renewable electricity or fossil fuel sources in comb</w:t>
      </w:r>
      <w:r>
        <w:rPr>
          <w:rFonts w:ascii="Calibri" w:eastAsia="Calibri" w:hAnsi="Calibri" w:cs="Calibri"/>
          <w:color w:val="000000"/>
        </w:rPr>
        <w:t>ination with CCS</w:t>
      </w:r>
    </w:p>
    <w:p w14:paraId="000000D5" w14:textId="77777777" w:rsidR="001E40A1" w:rsidRDefault="001E40A1">
      <w:pPr>
        <w:pBdr>
          <w:top w:val="nil"/>
          <w:left w:val="nil"/>
          <w:bottom w:val="nil"/>
          <w:right w:val="nil"/>
          <w:between w:val="nil"/>
        </w:pBdr>
        <w:ind w:left="720"/>
        <w:rPr>
          <w:rFonts w:ascii="Calibri" w:eastAsia="Calibri" w:hAnsi="Calibri" w:cs="Calibri"/>
          <w:color w:val="000000"/>
        </w:rPr>
      </w:pPr>
    </w:p>
    <w:p w14:paraId="000000D6" w14:textId="77777777" w:rsidR="001E40A1" w:rsidRDefault="007A0446">
      <w:pPr>
        <w:jc w:val="both"/>
        <w:rPr>
          <w:rFonts w:ascii="Calibri" w:eastAsia="Calibri" w:hAnsi="Calibri" w:cs="Calibri"/>
        </w:rPr>
      </w:pPr>
      <w:r>
        <w:rPr>
          <w:rFonts w:ascii="Calibri" w:eastAsia="Calibri" w:hAnsi="Calibri" w:cs="Calibri"/>
        </w:rPr>
        <w:t>These options are at varying levels of readiness and use. For example, solar has been in use for supplementing auxiliary power for some time. Wind assistance technologies have been in use for some time on several sea going ships, as has b</w:t>
      </w:r>
      <w:r>
        <w:rPr>
          <w:rFonts w:ascii="Calibri" w:eastAsia="Calibri" w:hAnsi="Calibri" w:cs="Calibri"/>
        </w:rPr>
        <w:t>attery energy storage and biofuel. Some of these options have yet to be deployed for deep-sea shipping operations (for example bioenergy and synthetic/e-fuels) but are already deployed and in operation for short sea shipping. Their application for deep sea</w:t>
      </w:r>
      <w:r>
        <w:rPr>
          <w:rFonts w:ascii="Calibri" w:eastAsia="Calibri" w:hAnsi="Calibri" w:cs="Calibri"/>
        </w:rPr>
        <w:t xml:space="preserve"> shipping use is the subject of intense Research, Design and Development (RD&amp;D) efforts, and their potential availability is expected over the coming decade. </w:t>
      </w:r>
    </w:p>
    <w:p w14:paraId="000000D7" w14:textId="77777777" w:rsidR="001E40A1" w:rsidRDefault="001E40A1">
      <w:pPr>
        <w:jc w:val="both"/>
        <w:rPr>
          <w:rFonts w:ascii="Calibri" w:eastAsia="Calibri" w:hAnsi="Calibri" w:cs="Calibri"/>
        </w:rPr>
      </w:pPr>
    </w:p>
    <w:p w14:paraId="000000D8" w14:textId="77777777" w:rsidR="001E40A1" w:rsidRDefault="007A0446">
      <w:pPr>
        <w:jc w:val="both"/>
        <w:rPr>
          <w:rFonts w:ascii="Calibri" w:eastAsia="Calibri" w:hAnsi="Calibri" w:cs="Calibri"/>
        </w:rPr>
      </w:pPr>
      <w:r>
        <w:rPr>
          <w:rFonts w:ascii="Calibri" w:eastAsia="Calibri" w:hAnsi="Calibri" w:cs="Calibri"/>
        </w:rPr>
        <w:t xml:space="preserve">Figure 1 describes potential scenarios of how the energy demand in shipping could progress from </w:t>
      </w:r>
      <w:r>
        <w:rPr>
          <w:rFonts w:ascii="Calibri" w:eastAsia="Calibri" w:hAnsi="Calibri" w:cs="Calibri"/>
        </w:rPr>
        <w:t>2010 (the baseline year</w:t>
      </w:r>
      <w:r>
        <w:rPr>
          <w:rFonts w:ascii="Calibri" w:eastAsia="Calibri" w:hAnsi="Calibri" w:cs="Calibri"/>
          <w:color w:val="000000"/>
          <w:vertAlign w:val="superscript"/>
        </w:rPr>
        <w:footnoteReference w:id="15"/>
      </w:r>
      <w:r>
        <w:rPr>
          <w:rFonts w:ascii="Calibri" w:eastAsia="Calibri" w:hAnsi="Calibri" w:cs="Calibri"/>
        </w:rPr>
        <w:t xml:space="preserve"> used to express the performance of the current fleet) to 2050. The predominate fuel mix in 2010 was Heavy Fuel Oil (HFO) and Marine Diesel Oil (MDO), both fossil fuels. </w:t>
      </w:r>
    </w:p>
    <w:p w14:paraId="000000D9" w14:textId="77777777" w:rsidR="001E40A1" w:rsidRDefault="001E40A1">
      <w:pPr>
        <w:jc w:val="both"/>
        <w:rPr>
          <w:rFonts w:ascii="Calibri" w:eastAsia="Calibri" w:hAnsi="Calibri" w:cs="Calibri"/>
        </w:rPr>
      </w:pPr>
    </w:p>
    <w:p w14:paraId="000000DA" w14:textId="77777777" w:rsidR="001E40A1" w:rsidRDefault="007A0446">
      <w:pPr>
        <w:jc w:val="both"/>
        <w:rPr>
          <w:rFonts w:ascii="Calibri" w:eastAsia="Calibri" w:hAnsi="Calibri" w:cs="Calibri"/>
        </w:rPr>
      </w:pPr>
      <w:r>
        <w:rPr>
          <w:rFonts w:ascii="Calibri" w:eastAsia="Calibri" w:hAnsi="Calibri" w:cs="Calibri"/>
        </w:rPr>
        <w:lastRenderedPageBreak/>
        <w:t>As well as cost-effective use of all available energy effic</w:t>
      </w:r>
      <w:r>
        <w:rPr>
          <w:rFonts w:ascii="Calibri" w:eastAsia="Calibri" w:hAnsi="Calibri" w:cs="Calibri"/>
        </w:rPr>
        <w:t>iency opportunities, the scenarios describe significant growth in biofuel and hydrogen energy use. In both scenarios significant rates of operational GHG emission reduction, such that scenario 4 (left) achieves nearly 100% emission reduction by 2050, and s</w:t>
      </w:r>
      <w:r>
        <w:rPr>
          <w:rFonts w:ascii="Calibri" w:eastAsia="Calibri" w:hAnsi="Calibri" w:cs="Calibri"/>
        </w:rPr>
        <w:t>cenario 5 (right) achieves approximately 50% emission reduction by 2050 (both on 2010 baseline). Other scenarios and analyses see different fuel mixes and different fuels could compete to dominate the future shipping energy demand (e.g. ammonia, e-methanol</w:t>
      </w:r>
      <w:r>
        <w:rPr>
          <w:rFonts w:ascii="Calibri" w:eastAsia="Calibri" w:hAnsi="Calibri" w:cs="Calibri"/>
        </w:rPr>
        <w:t xml:space="preserve">), but the basic principle remains: that the fleet will need to rapidly move away from fossil fuel use to low and zero GHG emission alternatives. </w:t>
      </w:r>
    </w:p>
    <w:p w14:paraId="000000DB" w14:textId="77777777" w:rsidR="001E40A1" w:rsidRDefault="001E40A1">
      <w:pPr>
        <w:rPr>
          <w:rFonts w:ascii="Calibri" w:eastAsia="Calibri" w:hAnsi="Calibri" w:cs="Calibri"/>
        </w:rPr>
      </w:pPr>
    </w:p>
    <w:p w14:paraId="000000DC" w14:textId="77777777" w:rsidR="001E40A1" w:rsidRDefault="007A0446">
      <w:pPr>
        <w:rPr>
          <w:rFonts w:ascii="Calibri" w:eastAsia="Calibri" w:hAnsi="Calibri" w:cs="Calibri"/>
        </w:rPr>
      </w:pPr>
      <w:r>
        <w:rPr>
          <w:rFonts w:ascii="Calibri" w:eastAsia="Calibri" w:hAnsi="Calibri" w:cs="Calibri"/>
          <w:b/>
          <w:color w:val="000000"/>
        </w:rPr>
        <w:t>Figure 1: the penetration of different fuels in the aggregated energy demand for international shipping, ove</w:t>
      </w:r>
      <w:r>
        <w:rPr>
          <w:rFonts w:ascii="Calibri" w:eastAsia="Calibri" w:hAnsi="Calibri" w:cs="Calibri"/>
          <w:b/>
          <w:color w:val="000000"/>
        </w:rPr>
        <w:t>r the period 2010-2050</w:t>
      </w:r>
      <w:r>
        <w:rPr>
          <w:rFonts w:ascii="Calibri" w:eastAsia="Calibri" w:hAnsi="Calibri" w:cs="Calibri"/>
          <w:color w:val="000000"/>
          <w:vertAlign w:val="superscript"/>
        </w:rPr>
        <w:footnoteReference w:id="16"/>
      </w:r>
    </w:p>
    <w:p w14:paraId="000000DD" w14:textId="77777777" w:rsidR="001E40A1" w:rsidRDefault="007A0446">
      <w:pPr>
        <w:rPr>
          <w:rFonts w:ascii="Calibri" w:eastAsia="Calibri" w:hAnsi="Calibri" w:cs="Calibri"/>
        </w:rPr>
      </w:pPr>
      <w:r>
        <w:rPr>
          <w:rFonts w:ascii="Calibri" w:eastAsia="Calibri" w:hAnsi="Calibri" w:cs="Calibri"/>
          <w:noProof/>
        </w:rPr>
        <w:drawing>
          <wp:inline distT="0" distB="0" distL="0" distR="0">
            <wp:extent cx="5383485" cy="1937564"/>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383485" cy="1937564"/>
                    </a:xfrm>
                    <a:prstGeom prst="rect">
                      <a:avLst/>
                    </a:prstGeom>
                    <a:ln/>
                  </pic:spPr>
                </pic:pic>
              </a:graphicData>
            </a:graphic>
          </wp:inline>
        </w:drawing>
      </w:r>
    </w:p>
    <w:p w14:paraId="000000DE" w14:textId="77777777" w:rsidR="001E40A1" w:rsidRDefault="001E40A1">
      <w:pPr>
        <w:rPr>
          <w:rFonts w:ascii="Calibri" w:eastAsia="Calibri" w:hAnsi="Calibri" w:cs="Calibri"/>
        </w:rPr>
      </w:pPr>
    </w:p>
    <w:p w14:paraId="000000DF" w14:textId="77777777" w:rsidR="001E40A1" w:rsidRDefault="007A0446">
      <w:pPr>
        <w:jc w:val="both"/>
        <w:rPr>
          <w:rFonts w:ascii="Calibri" w:eastAsia="Calibri" w:hAnsi="Calibri" w:cs="Calibri"/>
        </w:rPr>
      </w:pPr>
      <w:r>
        <w:rPr>
          <w:rFonts w:ascii="Calibri" w:eastAsia="Calibri" w:hAnsi="Calibri" w:cs="Calibri"/>
        </w:rPr>
        <w:t>In order to drive these changes the IMO, April 2018, committed to reducing emissions generated by shipping activity, which represented a significant shift in climate ambition for a sector that currently accounts for 2-3% of global carbon dioxide emissions.</w:t>
      </w:r>
      <w:r>
        <w:rPr>
          <w:rFonts w:ascii="Calibri" w:eastAsia="Calibri" w:hAnsi="Calibri" w:cs="Calibri"/>
        </w:rPr>
        <w:t xml:space="preserve"> This Initial Strategy by the IMO sets out three objectives.</w:t>
      </w:r>
      <w:r>
        <w:rPr>
          <w:rFonts w:ascii="Calibri" w:eastAsia="Calibri" w:hAnsi="Calibri" w:cs="Calibri"/>
          <w:color w:val="000000"/>
          <w:vertAlign w:val="superscript"/>
        </w:rPr>
        <w:footnoteReference w:id="17"/>
      </w:r>
      <w:r>
        <w:rPr>
          <w:rFonts w:ascii="Calibri" w:eastAsia="Calibri" w:hAnsi="Calibri" w:cs="Calibri"/>
        </w:rPr>
        <w:t xml:space="preserve"> The first objective is specifically related to the design efficiency improvements of newbuild ships. The latter two require emission reduction targets on an absolute and also on a relative basi</w:t>
      </w:r>
      <w:r>
        <w:rPr>
          <w:rFonts w:ascii="Calibri" w:eastAsia="Calibri" w:hAnsi="Calibri" w:cs="Calibri"/>
        </w:rPr>
        <w:t xml:space="preserve">s. </w:t>
      </w:r>
    </w:p>
    <w:p w14:paraId="000000E0" w14:textId="77777777" w:rsidR="001E40A1" w:rsidRDefault="001E40A1">
      <w:pPr>
        <w:jc w:val="both"/>
        <w:rPr>
          <w:rFonts w:ascii="Calibri" w:eastAsia="Calibri" w:hAnsi="Calibri" w:cs="Calibri"/>
        </w:rPr>
      </w:pPr>
    </w:p>
    <w:p w14:paraId="000000E1" w14:textId="77777777" w:rsidR="001E40A1" w:rsidRDefault="007A0446">
      <w:pPr>
        <w:jc w:val="both"/>
        <w:rPr>
          <w:rFonts w:ascii="Calibri" w:eastAsia="Calibri" w:hAnsi="Calibri" w:cs="Calibri"/>
        </w:rPr>
      </w:pPr>
      <w:r>
        <w:rPr>
          <w:rFonts w:ascii="Calibri" w:eastAsia="Calibri" w:hAnsi="Calibri" w:cs="Calibri"/>
        </w:rPr>
        <w:t>The IMO’s absolute reduction target requires GHG emissions from international shipping fleets in aggregate to peak as soon as possible and to reduce by at least 50% by 2050 compared to 2008 whilst pursuing efforts towards phasing them out.</w:t>
      </w:r>
      <w:r>
        <w:rPr>
          <w:rFonts w:ascii="Calibri" w:eastAsia="Calibri" w:hAnsi="Calibri" w:cs="Calibri"/>
          <w:color w:val="000000"/>
          <w:vertAlign w:val="superscript"/>
        </w:rPr>
        <w:footnoteReference w:id="18"/>
      </w:r>
      <w:r>
        <w:rPr>
          <w:rFonts w:ascii="Calibri" w:eastAsia="Calibri" w:hAnsi="Calibri" w:cs="Calibri"/>
        </w:rPr>
        <w:t xml:space="preserve"> This implies that the shape of Figure 2 shows the lower bound (50% reduction), middle reduction scenario (70% reduction) and upper bound (100% reduction). </w:t>
      </w:r>
    </w:p>
    <w:p w14:paraId="000000E2" w14:textId="77777777" w:rsidR="001E40A1" w:rsidRDefault="001E40A1">
      <w:pPr>
        <w:jc w:val="both"/>
        <w:rPr>
          <w:rFonts w:ascii="Calibri" w:eastAsia="Calibri" w:hAnsi="Calibri" w:cs="Calibri"/>
        </w:rPr>
      </w:pPr>
    </w:p>
    <w:p w14:paraId="000000E3" w14:textId="77777777" w:rsidR="001E40A1" w:rsidRDefault="007A0446">
      <w:bookmarkStart w:id="12" w:name="_heading=h.26in1rg" w:colFirst="0" w:colLast="0"/>
      <w:bookmarkEnd w:id="12"/>
      <w:r>
        <w:rPr>
          <w:rFonts w:ascii="Calibri" w:eastAsia="Calibri" w:hAnsi="Calibri" w:cs="Calibri"/>
          <w:b/>
        </w:rPr>
        <w:t>Figure 2: The Global Shipping fleet’s absolute CO2 targets and trajectories</w:t>
      </w:r>
    </w:p>
    <w:p w14:paraId="000000E4" w14:textId="77777777" w:rsidR="001E40A1" w:rsidRDefault="007A0446">
      <w:pPr>
        <w:rPr>
          <w:rFonts w:ascii="Calibri" w:eastAsia="Calibri" w:hAnsi="Calibri" w:cs="Calibri"/>
        </w:rPr>
      </w:pPr>
      <w:r>
        <w:rPr>
          <w:rFonts w:ascii="Calibri" w:eastAsia="Calibri" w:hAnsi="Calibri" w:cs="Calibri"/>
          <w:noProof/>
        </w:rPr>
        <w:lastRenderedPageBreak/>
        <w:drawing>
          <wp:inline distT="0" distB="0" distL="0" distR="0">
            <wp:extent cx="5328828" cy="246537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t="16562" b="3359"/>
                    <a:stretch>
                      <a:fillRect/>
                    </a:stretch>
                  </pic:blipFill>
                  <pic:spPr>
                    <a:xfrm>
                      <a:off x="0" y="0"/>
                      <a:ext cx="5328828" cy="2465370"/>
                    </a:xfrm>
                    <a:prstGeom prst="rect">
                      <a:avLst/>
                    </a:prstGeom>
                    <a:ln/>
                  </pic:spPr>
                </pic:pic>
              </a:graphicData>
            </a:graphic>
          </wp:inline>
        </w:drawing>
      </w:r>
    </w:p>
    <w:p w14:paraId="000000E5" w14:textId="77777777" w:rsidR="001E40A1" w:rsidRDefault="001E40A1">
      <w:pPr>
        <w:rPr>
          <w:rFonts w:ascii="Calibri" w:eastAsia="Calibri" w:hAnsi="Calibri" w:cs="Calibri"/>
        </w:rPr>
      </w:pPr>
    </w:p>
    <w:p w14:paraId="000000E6" w14:textId="77777777" w:rsidR="001E40A1" w:rsidRDefault="007A0446">
      <w:pPr>
        <w:jc w:val="both"/>
        <w:rPr>
          <w:rFonts w:ascii="Calibri" w:eastAsia="Calibri" w:hAnsi="Calibri" w:cs="Calibri"/>
        </w:rPr>
      </w:pPr>
      <w:r>
        <w:rPr>
          <w:rFonts w:ascii="Calibri" w:eastAsia="Calibri" w:hAnsi="Calibri" w:cs="Calibri"/>
        </w:rPr>
        <w:t>The IMO’s third, re</w:t>
      </w:r>
      <w:r>
        <w:rPr>
          <w:rFonts w:ascii="Calibri" w:eastAsia="Calibri" w:hAnsi="Calibri" w:cs="Calibri"/>
        </w:rPr>
        <w:t>lative emissions target, or carbon intensity</w:t>
      </w:r>
      <w:r>
        <w:rPr>
          <w:rFonts w:ascii="Calibri" w:eastAsia="Calibri" w:hAnsi="Calibri" w:cs="Calibri"/>
          <w:color w:val="000000"/>
          <w:vertAlign w:val="superscript"/>
        </w:rPr>
        <w:footnoteReference w:id="19"/>
      </w:r>
      <w:r>
        <w:rPr>
          <w:rFonts w:ascii="Calibri" w:eastAsia="Calibri" w:hAnsi="Calibri" w:cs="Calibri"/>
        </w:rPr>
        <w:t xml:space="preserve"> aims to reduce carbon intensity by at least 40% by 2030 based on 2008 levels but should pursue efforts towards 70% by 2050.</w:t>
      </w:r>
      <w:r>
        <w:rPr>
          <w:rFonts w:ascii="Calibri" w:eastAsia="Calibri" w:hAnsi="Calibri" w:cs="Calibri"/>
          <w:color w:val="000000"/>
          <w:vertAlign w:val="superscript"/>
        </w:rPr>
        <w:footnoteReference w:id="20"/>
      </w:r>
      <w:r>
        <w:rPr>
          <w:rFonts w:ascii="Calibri" w:eastAsia="Calibri" w:hAnsi="Calibri" w:cs="Calibri"/>
        </w:rPr>
        <w:t xml:space="preserve"> </w:t>
      </w:r>
    </w:p>
    <w:p w14:paraId="000000E7" w14:textId="77777777" w:rsidR="001E40A1" w:rsidRDefault="001E40A1">
      <w:pPr>
        <w:jc w:val="both"/>
        <w:rPr>
          <w:rFonts w:ascii="Calibri" w:eastAsia="Calibri" w:hAnsi="Calibri" w:cs="Calibri"/>
        </w:rPr>
      </w:pPr>
    </w:p>
    <w:p w14:paraId="000000E8" w14:textId="77777777" w:rsidR="001E40A1" w:rsidRDefault="007A0446">
      <w:pPr>
        <w:jc w:val="both"/>
        <w:rPr>
          <w:rFonts w:ascii="Calibri" w:eastAsia="Calibri" w:hAnsi="Calibri" w:cs="Calibri"/>
        </w:rPr>
      </w:pPr>
      <w:r>
        <w:rPr>
          <w:rFonts w:ascii="Calibri" w:eastAsia="Calibri" w:hAnsi="Calibri" w:cs="Calibri"/>
        </w:rPr>
        <w:t>However, the at least 40% and at least 70% intensity targets were set prior to th</w:t>
      </w:r>
      <w:r>
        <w:rPr>
          <w:rFonts w:ascii="Calibri" w:eastAsia="Calibri" w:hAnsi="Calibri" w:cs="Calibri"/>
        </w:rPr>
        <w:t>e determination of the at least 50% absolute reduction goal. Depending on future demand for shipping services, the IMO’s absolute and relative targets (See: Figure 1 and Figure 2) may or may not align. However, alignment is unlikely. The wording of the Ini</w:t>
      </w:r>
      <w:r>
        <w:rPr>
          <w:rFonts w:ascii="Calibri" w:eastAsia="Calibri" w:hAnsi="Calibri" w:cs="Calibri"/>
        </w:rPr>
        <w:t xml:space="preserve">tial Strategy does not state that meeting a 40% reduction in intensity by 2030 and 70% by 2050 ensures compliance with the absolute reduction goal. To address this, </w:t>
      </w:r>
      <w:r>
        <w:rPr>
          <w:rFonts w:ascii="Calibri" w:eastAsia="Calibri" w:hAnsi="Calibri" w:cs="Calibri"/>
          <w:color w:val="000000"/>
        </w:rPr>
        <w:t>i</w:t>
      </w:r>
      <w:r>
        <w:rPr>
          <w:rFonts w:ascii="Calibri" w:eastAsia="Calibri" w:hAnsi="Calibri" w:cs="Calibri"/>
        </w:rPr>
        <w:t>t is expected that the IMO will update intensity targets to better align with absolute tar</w:t>
      </w:r>
      <w:r>
        <w:rPr>
          <w:rFonts w:ascii="Calibri" w:eastAsia="Calibri" w:hAnsi="Calibri" w:cs="Calibri"/>
        </w:rPr>
        <w:t>gets at the forthcoming review process for the IMO’s Initial GHG Strategy.</w:t>
      </w:r>
    </w:p>
    <w:p w14:paraId="000000E9" w14:textId="77777777" w:rsidR="001E40A1" w:rsidRDefault="001E40A1">
      <w:pPr>
        <w:jc w:val="both"/>
        <w:rPr>
          <w:rFonts w:ascii="Calibri" w:eastAsia="Calibri" w:hAnsi="Calibri" w:cs="Calibri"/>
        </w:rPr>
      </w:pPr>
    </w:p>
    <w:p w14:paraId="000000EA" w14:textId="77777777" w:rsidR="001E40A1" w:rsidRDefault="007A0446">
      <w:pPr>
        <w:jc w:val="both"/>
        <w:rPr>
          <w:rFonts w:ascii="Calibri" w:eastAsia="Calibri" w:hAnsi="Calibri" w:cs="Calibri"/>
        </w:rPr>
      </w:pPr>
      <w:r>
        <w:rPr>
          <w:rFonts w:ascii="Calibri" w:eastAsia="Calibri" w:hAnsi="Calibri" w:cs="Calibri"/>
        </w:rPr>
        <w:t xml:space="preserve">Reduction targets in the Strategy use 2008 as the baseline year because this is the agreed baseline from the IMO. Nations pledged in the 2015 Paris Agreement “to achieve a balance </w:t>
      </w:r>
      <w:r>
        <w:rPr>
          <w:rFonts w:ascii="Calibri" w:eastAsia="Calibri" w:hAnsi="Calibri" w:cs="Calibri"/>
        </w:rPr>
        <w:t>between anthropogenic emissions by sources and removals by sinks of greenhouse gases in the second half of this century”. This means getting to “net zero emissions” between 2050 and 2100. 2050 therefore represents a key milestone in the Paris Agreement, wh</w:t>
      </w:r>
      <w:r>
        <w:rPr>
          <w:rFonts w:ascii="Calibri" w:eastAsia="Calibri" w:hAnsi="Calibri" w:cs="Calibri"/>
        </w:rPr>
        <w:t>ich the IMO explicitly references in its Strategy.</w:t>
      </w:r>
      <w:r>
        <w:rPr>
          <w:rFonts w:ascii="Calibri" w:eastAsia="Calibri" w:hAnsi="Calibri" w:cs="Calibri"/>
          <w:color w:val="000000"/>
          <w:vertAlign w:val="superscript"/>
        </w:rPr>
        <w:footnoteReference w:id="21"/>
      </w:r>
    </w:p>
    <w:p w14:paraId="000000EB" w14:textId="77777777" w:rsidR="001E40A1" w:rsidRDefault="001E40A1">
      <w:pPr>
        <w:jc w:val="both"/>
        <w:rPr>
          <w:rFonts w:ascii="Calibri" w:eastAsia="Calibri" w:hAnsi="Calibri" w:cs="Calibri"/>
        </w:rPr>
      </w:pPr>
    </w:p>
    <w:p w14:paraId="000000EC" w14:textId="77777777" w:rsidR="001E40A1" w:rsidRDefault="007A0446">
      <w:pPr>
        <w:jc w:val="both"/>
        <w:rPr>
          <w:rFonts w:ascii="Calibri" w:eastAsia="Calibri" w:hAnsi="Calibri" w:cs="Calibri"/>
        </w:rPr>
      </w:pPr>
      <w:r>
        <w:rPr>
          <w:rFonts w:ascii="Calibri" w:eastAsia="Calibri" w:hAnsi="Calibri" w:cs="Calibri"/>
        </w:rPr>
        <w:t>The Strategy does not alone secure 1.5⁰C nor clearly show that efforts have been pursued to achieve this. The Strategy increases the possibility of being able to keep global average temperature increase</w:t>
      </w:r>
      <w:r>
        <w:rPr>
          <w:rFonts w:ascii="Calibri" w:eastAsia="Calibri" w:hAnsi="Calibri" w:cs="Calibri"/>
        </w:rPr>
        <w:t xml:space="preserve">s within this limit. Immediate measures to implement the Strategy will be required to urgently peak and reduce GHG emissions in line with 1.5⁰C. </w:t>
      </w:r>
    </w:p>
    <w:p w14:paraId="000000ED" w14:textId="77777777" w:rsidR="001E40A1" w:rsidRDefault="001E40A1">
      <w:pPr>
        <w:jc w:val="both"/>
        <w:rPr>
          <w:rFonts w:ascii="Calibri" w:eastAsia="Calibri" w:hAnsi="Calibri" w:cs="Calibri"/>
        </w:rPr>
      </w:pPr>
    </w:p>
    <w:p w14:paraId="000000EE" w14:textId="77777777" w:rsidR="001E40A1" w:rsidRDefault="007A0446">
      <w:pPr>
        <w:jc w:val="both"/>
        <w:rPr>
          <w:rFonts w:ascii="Calibri" w:eastAsia="Calibri" w:hAnsi="Calibri" w:cs="Calibri"/>
        </w:rPr>
      </w:pPr>
      <w:r>
        <w:rPr>
          <w:rFonts w:ascii="Calibri" w:eastAsia="Calibri" w:hAnsi="Calibri" w:cs="Calibri"/>
        </w:rPr>
        <w:t>Critical to the viability of 1.5⁰C is whether the Strategy is converted into significant GHG reductions befor</w:t>
      </w:r>
      <w:r>
        <w:rPr>
          <w:rFonts w:ascii="Calibri" w:eastAsia="Calibri" w:hAnsi="Calibri" w:cs="Calibri"/>
        </w:rPr>
        <w:t>e 2023, and this is dependent on the outcome of future IMO meetings and their ability to agree and then rapidly deploy policy measures.</w:t>
      </w:r>
    </w:p>
    <w:p w14:paraId="000000EF" w14:textId="77777777" w:rsidR="001E40A1" w:rsidRDefault="007A0446">
      <w:pPr>
        <w:rPr>
          <w:rFonts w:ascii="Calibri" w:eastAsia="Calibri" w:hAnsi="Calibri" w:cs="Calibri"/>
        </w:rPr>
      </w:pPr>
      <w:r>
        <w:rPr>
          <w:rFonts w:ascii="Calibri" w:eastAsia="Calibri" w:hAnsi="Calibri" w:cs="Calibri"/>
        </w:rPr>
        <w:br/>
      </w:r>
      <w:r>
        <w:rPr>
          <w:rFonts w:ascii="Calibri" w:eastAsia="Calibri" w:hAnsi="Calibri" w:cs="Calibri"/>
          <w:b/>
        </w:rPr>
        <w:t>Fi</w:t>
      </w:r>
      <w:r>
        <w:rPr>
          <w:rFonts w:ascii="Calibri" w:eastAsia="Calibri" w:hAnsi="Calibri" w:cs="Calibri"/>
          <w:b/>
          <w:color w:val="000000"/>
        </w:rPr>
        <w:t>gure 3: International Shipping’s Share of IEA “Below 2 Degrees” Net Emissions, calculations by UMAS</w:t>
      </w:r>
    </w:p>
    <w:p w14:paraId="000000F0" w14:textId="77777777" w:rsidR="001E40A1" w:rsidRDefault="007A0446">
      <w:pPr>
        <w:rPr>
          <w:rFonts w:ascii="Calibri" w:eastAsia="Calibri" w:hAnsi="Calibri" w:cs="Calibri"/>
        </w:rPr>
      </w:pPr>
      <w:r>
        <w:rPr>
          <w:rFonts w:ascii="Calibri" w:eastAsia="Calibri" w:hAnsi="Calibri" w:cs="Calibri"/>
          <w:noProof/>
        </w:rPr>
        <w:lastRenderedPageBreak/>
        <w:drawing>
          <wp:inline distT="0" distB="0" distL="0" distR="0">
            <wp:extent cx="5424820" cy="2982403"/>
            <wp:effectExtent l="0" t="0" r="0" b="0"/>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b="4577"/>
                    <a:stretch>
                      <a:fillRect/>
                    </a:stretch>
                  </pic:blipFill>
                  <pic:spPr>
                    <a:xfrm>
                      <a:off x="0" y="0"/>
                      <a:ext cx="5424820" cy="2982403"/>
                    </a:xfrm>
                    <a:prstGeom prst="rect">
                      <a:avLst/>
                    </a:prstGeom>
                    <a:ln/>
                  </pic:spPr>
                </pic:pic>
              </a:graphicData>
            </a:graphic>
          </wp:inline>
        </w:drawing>
      </w:r>
    </w:p>
    <w:p w14:paraId="000000F1" w14:textId="77777777" w:rsidR="001E40A1" w:rsidRDefault="007A0446">
      <w:pPr>
        <w:jc w:val="both"/>
        <w:rPr>
          <w:rFonts w:ascii="Calibri" w:eastAsia="Calibri" w:hAnsi="Calibri" w:cs="Calibri"/>
        </w:rPr>
      </w:pPr>
      <w:r>
        <w:rPr>
          <w:rFonts w:ascii="Calibri" w:eastAsia="Calibri" w:hAnsi="Calibri" w:cs="Calibri"/>
        </w:rPr>
        <w:br/>
        <w:t>Figure 3 shows</w:t>
      </w:r>
      <w:r>
        <w:rPr>
          <w:rFonts w:ascii="Calibri" w:eastAsia="Calibri" w:hAnsi="Calibri" w:cs="Calibri"/>
        </w:rPr>
        <w:t xml:space="preserve"> International Shipping’s share of net emissions in the IEA’s “Below 2 Degrees”</w:t>
      </w:r>
      <w:r>
        <w:rPr>
          <w:rFonts w:ascii="Calibri" w:eastAsia="Calibri" w:hAnsi="Calibri" w:cs="Calibri"/>
          <w:color w:val="000000"/>
          <w:vertAlign w:val="superscript"/>
        </w:rPr>
        <w:footnoteReference w:id="22"/>
      </w:r>
      <w:r>
        <w:rPr>
          <w:rFonts w:ascii="Calibri" w:eastAsia="Calibri" w:hAnsi="Calibri" w:cs="Calibri"/>
        </w:rPr>
        <w:t xml:space="preserve"> scenario in different reduction scenarios compared to the Business-As-Usual (BAU) pathway. The IMO Strategy’s 50% absolute emissions reduction (the lower bound on reduction a</w:t>
      </w:r>
      <w:r>
        <w:rPr>
          <w:rFonts w:ascii="Calibri" w:eastAsia="Calibri" w:hAnsi="Calibri" w:cs="Calibri"/>
        </w:rPr>
        <w:t xml:space="preserve">mbition) represents a ~10% share of net emissions by 2050 in this scenario, well above international Shipping’s historical share of emissions (2-3%). </w:t>
      </w:r>
    </w:p>
    <w:p w14:paraId="000000F2" w14:textId="77777777" w:rsidR="001E40A1" w:rsidRDefault="001E40A1">
      <w:pPr>
        <w:jc w:val="both"/>
        <w:rPr>
          <w:rFonts w:ascii="Calibri" w:eastAsia="Calibri" w:hAnsi="Calibri" w:cs="Calibri"/>
        </w:rPr>
      </w:pPr>
    </w:p>
    <w:p w14:paraId="000000F3" w14:textId="77777777" w:rsidR="001E40A1" w:rsidRDefault="007A0446">
      <w:pPr>
        <w:jc w:val="both"/>
        <w:rPr>
          <w:rFonts w:ascii="Calibri" w:eastAsia="Calibri" w:hAnsi="Calibri" w:cs="Calibri"/>
        </w:rPr>
      </w:pPr>
      <w:r>
        <w:rPr>
          <w:rFonts w:ascii="Calibri" w:eastAsia="Calibri" w:hAnsi="Calibri" w:cs="Calibri"/>
        </w:rPr>
        <w:t>Moreover, substantial CO2 cuts are needed before 2030 across the transport sector, including shipping, t</w:t>
      </w:r>
      <w:r>
        <w:rPr>
          <w:rFonts w:ascii="Calibri" w:eastAsia="Calibri" w:hAnsi="Calibri" w:cs="Calibri"/>
        </w:rPr>
        <w:t>o get the world on track to achieve the IPCC’s 1.5°C goal. Short-term measures for shipping must therefore be implemented before 2023. This will require operational energy efficiency measures, such as speed reduction and the implementation of operational e</w:t>
      </w:r>
      <w:r>
        <w:rPr>
          <w:rFonts w:ascii="Calibri" w:eastAsia="Calibri" w:hAnsi="Calibri" w:cs="Calibri"/>
        </w:rPr>
        <w:t>fficiency standards. In order to be aligned with 1.5°C, the sector would require 100% GHG reduction by 2050.</w:t>
      </w:r>
    </w:p>
    <w:p w14:paraId="000000F4" w14:textId="77777777" w:rsidR="001E40A1" w:rsidRDefault="001E40A1">
      <w:pPr>
        <w:rPr>
          <w:rFonts w:ascii="Calibri" w:eastAsia="Calibri" w:hAnsi="Calibri" w:cs="Calibri"/>
        </w:rPr>
      </w:pPr>
    </w:p>
    <w:p w14:paraId="000000F5" w14:textId="77777777" w:rsidR="001E40A1" w:rsidRDefault="007A0446">
      <w:pPr>
        <w:pStyle w:val="Heading3"/>
        <w:numPr>
          <w:ilvl w:val="2"/>
          <w:numId w:val="2"/>
        </w:numPr>
        <w:rPr>
          <w:rFonts w:ascii="Calibri" w:eastAsia="Calibri" w:hAnsi="Calibri" w:cs="Calibri"/>
        </w:rPr>
      </w:pPr>
      <w:bookmarkStart w:id="13" w:name="_heading=h.lnxbz9" w:colFirst="0" w:colLast="0"/>
      <w:bookmarkEnd w:id="13"/>
      <w:r>
        <w:rPr>
          <w:rFonts w:ascii="Calibri" w:eastAsia="Calibri" w:hAnsi="Calibri" w:cs="Calibri"/>
        </w:rPr>
        <w:t>General introduction to major policy developments at IMO and the European Union</w:t>
      </w:r>
    </w:p>
    <w:p w14:paraId="000000F6" w14:textId="77777777" w:rsidR="001E40A1" w:rsidRDefault="001E40A1">
      <w:pPr>
        <w:rPr>
          <w:rFonts w:ascii="Calibri" w:eastAsia="Calibri" w:hAnsi="Calibri" w:cs="Calibri"/>
        </w:rPr>
      </w:pPr>
    </w:p>
    <w:p w14:paraId="000000F7" w14:textId="77777777" w:rsidR="001E40A1" w:rsidRDefault="007A0446">
      <w:pPr>
        <w:jc w:val="both"/>
        <w:rPr>
          <w:rFonts w:ascii="Calibri" w:eastAsia="Calibri" w:hAnsi="Calibri" w:cs="Calibri"/>
        </w:rPr>
      </w:pPr>
      <w:r>
        <w:rPr>
          <w:rFonts w:ascii="Calibri" w:eastAsia="Calibri" w:hAnsi="Calibri" w:cs="Calibri"/>
        </w:rPr>
        <w:t>CBI recognizes that both the EU and the IMO have made significant strides towards developing and standardising the metrics and data necessary to transition the shipping sector</w:t>
      </w:r>
      <w:r>
        <w:rPr>
          <w:rFonts w:ascii="Calibri" w:eastAsia="Calibri" w:hAnsi="Calibri" w:cs="Calibri"/>
        </w:rPr>
        <w:t xml:space="preserve"> towards a low-carbon trajectory. These metrics are briefly outlined in this section but will be discussed in further detail in section 4.2 </w:t>
      </w:r>
    </w:p>
    <w:p w14:paraId="000000F8" w14:textId="77777777" w:rsidR="001E40A1" w:rsidRDefault="001E40A1">
      <w:pPr>
        <w:jc w:val="both"/>
        <w:rPr>
          <w:rFonts w:ascii="Calibri" w:eastAsia="Calibri" w:hAnsi="Calibri" w:cs="Calibri"/>
        </w:rPr>
      </w:pPr>
    </w:p>
    <w:p w14:paraId="000000F9" w14:textId="77777777" w:rsidR="001E40A1" w:rsidRDefault="007A0446">
      <w:pPr>
        <w:jc w:val="both"/>
        <w:rPr>
          <w:rFonts w:ascii="Calibri" w:eastAsia="Calibri" w:hAnsi="Calibri" w:cs="Calibri"/>
        </w:rPr>
      </w:pPr>
      <w:r>
        <w:rPr>
          <w:rFonts w:ascii="Calibri" w:eastAsia="Calibri" w:hAnsi="Calibri" w:cs="Calibri"/>
        </w:rPr>
        <w:t>The Energy Efficiency Design Index (EEDI) was made mandatory for new ships and the Ship Energy Efficiency Manageme</w:t>
      </w:r>
      <w:r>
        <w:rPr>
          <w:rFonts w:ascii="Calibri" w:eastAsia="Calibri" w:hAnsi="Calibri" w:cs="Calibri"/>
        </w:rPr>
        <w:t>nt Plan (SEEMP) for all ships at the IMO’s Marine Environment Protection Committee (MEPC) 62, on July 2011, with the adoption of amendments to the International Convention for the Prevention of Pollution from Ships (MARPOL) Annex VI (resolution MEPC.203(62</w:t>
      </w:r>
      <w:r>
        <w:rPr>
          <w:rFonts w:ascii="Calibri" w:eastAsia="Calibri" w:hAnsi="Calibri" w:cs="Calibri"/>
        </w:rPr>
        <w:t>)), by Parties to MARPOL Annex VI.</w:t>
      </w:r>
    </w:p>
    <w:p w14:paraId="000000FA" w14:textId="77777777" w:rsidR="001E40A1" w:rsidRDefault="007A0446">
      <w:pPr>
        <w:jc w:val="both"/>
        <w:rPr>
          <w:rFonts w:ascii="Calibri" w:eastAsia="Calibri" w:hAnsi="Calibri" w:cs="Calibri"/>
        </w:rPr>
      </w:pPr>
      <w:r>
        <w:rPr>
          <w:rFonts w:ascii="Calibri" w:eastAsia="Calibri" w:hAnsi="Calibri" w:cs="Calibri"/>
        </w:rPr>
        <w:br/>
        <w:t>This was the first legally binding climate change treaty to be adopted since the Kyoto Protocol. Since this breakthrough MEPC 63 (March 2012) adopted four important guidelines (resolutions MEPC.212(63), MEPC.213(63), MEP</w:t>
      </w:r>
      <w:r>
        <w:rPr>
          <w:rFonts w:ascii="Calibri" w:eastAsia="Calibri" w:hAnsi="Calibri" w:cs="Calibri"/>
        </w:rPr>
        <w:t>C.214(63) and MEPC.215(63)) aimed at assisting the implementation of the mandatory regulations on Energy Efficiency for Ships in MARPOL Annex VI.</w:t>
      </w:r>
      <w:r>
        <w:rPr>
          <w:rFonts w:ascii="Calibri" w:eastAsia="Calibri" w:hAnsi="Calibri" w:cs="Calibri"/>
          <w:color w:val="000000"/>
          <w:vertAlign w:val="superscript"/>
        </w:rPr>
        <w:footnoteReference w:id="23"/>
      </w:r>
    </w:p>
    <w:p w14:paraId="000000FB" w14:textId="77777777" w:rsidR="001E40A1" w:rsidRDefault="001E40A1">
      <w:pPr>
        <w:jc w:val="both"/>
        <w:rPr>
          <w:rFonts w:ascii="Calibri" w:eastAsia="Calibri" w:hAnsi="Calibri" w:cs="Calibri"/>
        </w:rPr>
      </w:pPr>
    </w:p>
    <w:p w14:paraId="000000FC" w14:textId="77777777" w:rsidR="001E40A1" w:rsidRDefault="007A0446">
      <w:pPr>
        <w:jc w:val="both"/>
        <w:rPr>
          <w:rFonts w:ascii="Calibri" w:eastAsia="Calibri" w:hAnsi="Calibri" w:cs="Calibri"/>
        </w:rPr>
      </w:pPr>
      <w:r>
        <w:rPr>
          <w:rFonts w:ascii="Calibri" w:eastAsia="Calibri" w:hAnsi="Calibri" w:cs="Calibri"/>
        </w:rPr>
        <w:t>The EEDI for new ships is the most important technical measure and it aims at promoting the use of more ene</w:t>
      </w:r>
      <w:r>
        <w:rPr>
          <w:rFonts w:ascii="Calibri" w:eastAsia="Calibri" w:hAnsi="Calibri" w:cs="Calibri"/>
        </w:rPr>
        <w:t xml:space="preserve">rgy efficient (less polluting) equipment and engines. The EEDI requires a minimum energy efficiency level per capacity mile (e.g. tonne mile) for different ship type and size segments. From 1 January 2015, following an initial two-year phase zero when new </w:t>
      </w:r>
      <w:r>
        <w:rPr>
          <w:rFonts w:ascii="Calibri" w:eastAsia="Calibri" w:hAnsi="Calibri" w:cs="Calibri"/>
        </w:rPr>
        <w:t>ship design will need to meet the reference level for their ship type, the level is to be tightened incrementally every five years, and so the EEDI is expected to stimulate continued innovation and technical development of all the components influencing th</w:t>
      </w:r>
      <w:r>
        <w:rPr>
          <w:rFonts w:ascii="Calibri" w:eastAsia="Calibri" w:hAnsi="Calibri" w:cs="Calibri"/>
        </w:rPr>
        <w:t>e fuel efficiency of a ship from its design phase.</w:t>
      </w:r>
    </w:p>
    <w:p w14:paraId="000000FD" w14:textId="77777777" w:rsidR="001E40A1" w:rsidRDefault="001E40A1">
      <w:pPr>
        <w:jc w:val="both"/>
        <w:rPr>
          <w:rFonts w:ascii="Calibri" w:eastAsia="Calibri" w:hAnsi="Calibri" w:cs="Calibri"/>
        </w:rPr>
      </w:pPr>
    </w:p>
    <w:p w14:paraId="000000FE" w14:textId="77777777" w:rsidR="001E40A1" w:rsidRDefault="007A0446">
      <w:pPr>
        <w:jc w:val="both"/>
        <w:rPr>
          <w:rFonts w:ascii="Calibri" w:eastAsia="Calibri" w:hAnsi="Calibri" w:cs="Calibri"/>
        </w:rPr>
      </w:pPr>
      <w:r>
        <w:rPr>
          <w:rFonts w:ascii="Calibri" w:eastAsia="Calibri" w:hAnsi="Calibri" w:cs="Calibri"/>
        </w:rPr>
        <w:t>The SEEMP is an operational measure that establishes a mechanism to improve the energy efficiency of a ship in a cost-effective manner. The SEEMP also provides an approach for shipping companies to manage</w:t>
      </w:r>
      <w:r>
        <w:rPr>
          <w:rFonts w:ascii="Calibri" w:eastAsia="Calibri" w:hAnsi="Calibri" w:cs="Calibri"/>
        </w:rPr>
        <w:t xml:space="preserve"> ship and fleet efficiency performance over time using, for example, the Energy Efficiency Operational Indicator (EEOI) as a monitoring tool.</w:t>
      </w:r>
    </w:p>
    <w:p w14:paraId="000000FF" w14:textId="77777777" w:rsidR="001E40A1" w:rsidRDefault="001E40A1">
      <w:pPr>
        <w:jc w:val="both"/>
        <w:rPr>
          <w:rFonts w:ascii="Calibri" w:eastAsia="Calibri" w:hAnsi="Calibri" w:cs="Calibri"/>
        </w:rPr>
      </w:pPr>
    </w:p>
    <w:p w14:paraId="00000100" w14:textId="77777777" w:rsidR="001E40A1" w:rsidRDefault="007A0446">
      <w:pPr>
        <w:jc w:val="both"/>
        <w:rPr>
          <w:rFonts w:ascii="Calibri" w:eastAsia="Calibri" w:hAnsi="Calibri" w:cs="Calibri"/>
        </w:rPr>
      </w:pPr>
      <w:r>
        <w:rPr>
          <w:rFonts w:ascii="Calibri" w:eastAsia="Calibri" w:hAnsi="Calibri" w:cs="Calibri"/>
        </w:rPr>
        <w:t xml:space="preserve">The Data Collection System (DCS) defines the data that the IMO has mandated that all shipowners will be required </w:t>
      </w:r>
      <w:r>
        <w:rPr>
          <w:rFonts w:ascii="Calibri" w:eastAsia="Calibri" w:hAnsi="Calibri" w:cs="Calibri"/>
        </w:rPr>
        <w:t>to report. The DCS is a new policy that entered into force in March 2018. The current specification of the DCS requires shipowners to collect and report to IMO, per calendar year, the following data for any vessels in their fleet which are 5,000 gross tonn</w:t>
      </w:r>
      <w:r>
        <w:rPr>
          <w:rFonts w:ascii="Calibri" w:eastAsia="Calibri" w:hAnsi="Calibri" w:cs="Calibri"/>
        </w:rPr>
        <w:t>age and above:</w:t>
      </w:r>
    </w:p>
    <w:p w14:paraId="00000101" w14:textId="77777777" w:rsidR="001E40A1" w:rsidRDefault="007A0446">
      <w:pPr>
        <w:rPr>
          <w:rFonts w:ascii="Calibri" w:eastAsia="Calibri" w:hAnsi="Calibri" w:cs="Calibri"/>
        </w:rPr>
      </w:pPr>
      <w:r>
        <w:rPr>
          <w:rFonts w:ascii="Calibri" w:eastAsia="Calibri" w:hAnsi="Calibri" w:cs="Calibri"/>
        </w:rPr>
        <w:t>1.</w:t>
      </w:r>
      <w:r>
        <w:rPr>
          <w:rFonts w:ascii="Calibri" w:eastAsia="Calibri" w:hAnsi="Calibri" w:cs="Calibri"/>
        </w:rPr>
        <w:tab/>
        <w:t>The amount of fuel consumption for each type of fuel</w:t>
      </w:r>
    </w:p>
    <w:p w14:paraId="00000102" w14:textId="77777777" w:rsidR="001E40A1" w:rsidRDefault="007A0446">
      <w:pPr>
        <w:rPr>
          <w:rFonts w:ascii="Calibri" w:eastAsia="Calibri" w:hAnsi="Calibri" w:cs="Calibri"/>
        </w:rPr>
      </w:pPr>
      <w:r>
        <w:rPr>
          <w:rFonts w:ascii="Calibri" w:eastAsia="Calibri" w:hAnsi="Calibri" w:cs="Calibri"/>
        </w:rPr>
        <w:t>2.</w:t>
      </w:r>
      <w:r>
        <w:rPr>
          <w:rFonts w:ascii="Calibri" w:eastAsia="Calibri" w:hAnsi="Calibri" w:cs="Calibri"/>
        </w:rPr>
        <w:tab/>
        <w:t>Distance travelled</w:t>
      </w:r>
    </w:p>
    <w:p w14:paraId="00000103" w14:textId="77777777" w:rsidR="001E40A1" w:rsidRDefault="007A0446">
      <w:pPr>
        <w:rPr>
          <w:rFonts w:ascii="Calibri" w:eastAsia="Calibri" w:hAnsi="Calibri" w:cs="Calibri"/>
        </w:rPr>
      </w:pPr>
      <w:r>
        <w:rPr>
          <w:rFonts w:ascii="Calibri" w:eastAsia="Calibri" w:hAnsi="Calibri" w:cs="Calibri"/>
        </w:rPr>
        <w:t>3.</w:t>
      </w:r>
      <w:r>
        <w:rPr>
          <w:rFonts w:ascii="Calibri" w:eastAsia="Calibri" w:hAnsi="Calibri" w:cs="Calibri"/>
        </w:rPr>
        <w:tab/>
        <w:t>Design deadweight used as cargo proxy</w:t>
      </w:r>
    </w:p>
    <w:p w14:paraId="00000104" w14:textId="77777777" w:rsidR="001E40A1" w:rsidRDefault="007A0446">
      <w:pPr>
        <w:rPr>
          <w:rFonts w:ascii="Calibri" w:eastAsia="Calibri" w:hAnsi="Calibri" w:cs="Calibri"/>
        </w:rPr>
      </w:pPr>
      <w:r>
        <w:rPr>
          <w:rFonts w:ascii="Calibri" w:eastAsia="Calibri" w:hAnsi="Calibri" w:cs="Calibri"/>
        </w:rPr>
        <w:t>4.</w:t>
      </w:r>
      <w:r>
        <w:rPr>
          <w:rFonts w:ascii="Calibri" w:eastAsia="Calibri" w:hAnsi="Calibri" w:cs="Calibri"/>
        </w:rPr>
        <w:tab/>
        <w:t>Hours underway</w:t>
      </w:r>
    </w:p>
    <w:p w14:paraId="00000105" w14:textId="77777777" w:rsidR="001E40A1" w:rsidRDefault="001E40A1">
      <w:pPr>
        <w:rPr>
          <w:rFonts w:ascii="Calibri" w:eastAsia="Calibri" w:hAnsi="Calibri" w:cs="Calibri"/>
        </w:rPr>
      </w:pPr>
    </w:p>
    <w:p w14:paraId="00000106" w14:textId="77777777" w:rsidR="001E40A1" w:rsidRDefault="007A0446">
      <w:pPr>
        <w:jc w:val="both"/>
        <w:rPr>
          <w:rFonts w:ascii="Calibri" w:eastAsia="Calibri" w:hAnsi="Calibri" w:cs="Calibri"/>
        </w:rPr>
      </w:pPr>
      <w:r>
        <w:rPr>
          <w:rFonts w:ascii="Calibri" w:eastAsia="Calibri" w:hAnsi="Calibri" w:cs="Calibri"/>
        </w:rPr>
        <w:t>The first data collection period is for the calendar year 2019. Prior to reporting to the IMO, the data must be verified by a Recognised Organisation (RO). Once data have been verified, a Statement of Compliance (SoC) is generated (by May 2020 for calendar</w:t>
      </w:r>
      <w:r>
        <w:rPr>
          <w:rFonts w:ascii="Calibri" w:eastAsia="Calibri" w:hAnsi="Calibri" w:cs="Calibri"/>
        </w:rPr>
        <w:t xml:space="preserve"> year 2019 data). Verified data need to be transferred to the IMO’s database by June 2020. The data reported to the IMO are confidential and it is uncertain how the data will be used, but it could be provided upon consent of the shipowner to a third party </w:t>
      </w:r>
      <w:r>
        <w:rPr>
          <w:rFonts w:ascii="Calibri" w:eastAsia="Calibri" w:hAnsi="Calibri" w:cs="Calibri"/>
        </w:rPr>
        <w:t xml:space="preserve">such as a lender. </w:t>
      </w:r>
    </w:p>
    <w:p w14:paraId="00000107" w14:textId="77777777" w:rsidR="001E40A1" w:rsidRDefault="001E40A1">
      <w:pPr>
        <w:jc w:val="both"/>
        <w:rPr>
          <w:rFonts w:ascii="Calibri" w:eastAsia="Calibri" w:hAnsi="Calibri" w:cs="Calibri"/>
        </w:rPr>
      </w:pPr>
    </w:p>
    <w:p w14:paraId="00000108" w14:textId="77777777" w:rsidR="001E40A1" w:rsidRDefault="007A0446">
      <w:pPr>
        <w:jc w:val="both"/>
        <w:rPr>
          <w:rFonts w:ascii="Calibri" w:eastAsia="Calibri" w:hAnsi="Calibri" w:cs="Calibri"/>
        </w:rPr>
      </w:pPr>
      <w:r>
        <w:rPr>
          <w:rFonts w:ascii="Calibri" w:eastAsia="Calibri" w:hAnsi="Calibri" w:cs="Calibri"/>
          <w:color w:val="000000"/>
        </w:rPr>
        <w:t>In April 2015, the European Parliament and the European Council adopted the Regulation (EU) 2015/757 on the monitoring, reporting and verification of CO2 emissions from maritime transport ("the EU MRV Regulation”)</w:t>
      </w:r>
      <w:r>
        <w:rPr>
          <w:rFonts w:ascii="Calibri" w:eastAsia="Calibri" w:hAnsi="Calibri" w:cs="Calibri"/>
        </w:rPr>
        <w:t xml:space="preserve">. </w:t>
      </w:r>
      <w:r>
        <w:rPr>
          <w:rFonts w:ascii="Calibri" w:eastAsia="Calibri" w:hAnsi="Calibri" w:cs="Calibri"/>
          <w:color w:val="000000"/>
        </w:rPr>
        <w:t>This EU regulation is</w:t>
      </w:r>
      <w:r>
        <w:rPr>
          <w:rFonts w:ascii="Calibri" w:eastAsia="Calibri" w:hAnsi="Calibri" w:cs="Calibri"/>
          <w:color w:val="000000"/>
        </w:rPr>
        <w:t xml:space="preserve"> an important milestone to collect robust and verified CO2 emission data from ships operating in the European Economic Area (EEA). </w:t>
      </w:r>
      <w:r>
        <w:rPr>
          <w:rFonts w:ascii="Calibri" w:eastAsia="Calibri" w:hAnsi="Calibri" w:cs="Calibri"/>
        </w:rPr>
        <w:t>The Regulation applies to ships above 5,000 gross tonnage in respect of CO2 emissions released during their voyages from thei</w:t>
      </w:r>
      <w:r>
        <w:rPr>
          <w:rFonts w:ascii="Calibri" w:eastAsia="Calibri" w:hAnsi="Calibri" w:cs="Calibri"/>
        </w:rPr>
        <w:t>r last port of call to a port of call under the jurisdiction of an EU Member State and from a port of call under the jurisdiction of a EU Member State to their next port of call, as well as within ports of call under the jurisdiction of an EU Member State.</w:t>
      </w:r>
      <w:r>
        <w:rPr>
          <w:rFonts w:ascii="Calibri" w:eastAsia="Calibri" w:hAnsi="Calibri" w:cs="Calibri"/>
        </w:rPr>
        <w:t xml:space="preserve"> </w:t>
      </w:r>
    </w:p>
    <w:p w14:paraId="00000109" w14:textId="77777777" w:rsidR="001E40A1" w:rsidRDefault="007A0446">
      <w:pPr>
        <w:jc w:val="both"/>
        <w:rPr>
          <w:rFonts w:ascii="Calibri" w:eastAsia="Calibri" w:hAnsi="Calibri" w:cs="Calibri"/>
        </w:rPr>
      </w:pPr>
      <w:r>
        <w:rPr>
          <w:rFonts w:ascii="Calibri" w:eastAsia="Calibri" w:hAnsi="Calibri" w:cs="Calibri"/>
        </w:rPr>
        <w:t>The data collected includes the CO2 emissions per distance travelled and cargo carried on voyages (or CO2 emissions divided by transport work, which is measured by deadweight tonnage and distance travelled). A document of compliance is issued to a compan</w:t>
      </w:r>
      <w:r>
        <w:rPr>
          <w:rFonts w:ascii="Calibri" w:eastAsia="Calibri" w:hAnsi="Calibri" w:cs="Calibri"/>
        </w:rPr>
        <w:t>y by a verifier, which confirms that that the ship has complied with the requirements of this Regulation for a specific reporting period.</w:t>
      </w:r>
    </w:p>
    <w:p w14:paraId="0000010A" w14:textId="77777777" w:rsidR="001E40A1" w:rsidRDefault="001E40A1">
      <w:pPr>
        <w:jc w:val="both"/>
        <w:rPr>
          <w:rFonts w:ascii="Calibri" w:eastAsia="Calibri" w:hAnsi="Calibri" w:cs="Calibri"/>
        </w:rPr>
      </w:pPr>
    </w:p>
    <w:p w14:paraId="0000010B" w14:textId="77777777" w:rsidR="001E40A1" w:rsidRDefault="007A0446">
      <w:pPr>
        <w:jc w:val="both"/>
        <w:rPr>
          <w:rFonts w:ascii="Calibri" w:eastAsia="Calibri" w:hAnsi="Calibri" w:cs="Calibri"/>
        </w:rPr>
      </w:pPr>
      <w:r>
        <w:rPr>
          <w:rFonts w:ascii="Calibri" w:eastAsia="Calibri" w:hAnsi="Calibri" w:cs="Calibri"/>
        </w:rPr>
        <w:t>Both the EU’s monitoring, reporting and verification (MRV) regulation and the IMO data collection system (DCS) are ba</w:t>
      </w:r>
      <w:r>
        <w:rPr>
          <w:rFonts w:ascii="Calibri" w:eastAsia="Calibri" w:hAnsi="Calibri" w:cs="Calibri"/>
        </w:rPr>
        <w:t>sed on collecting and analysing fuel consumption data; however, there are important differences in the types of information that is needed, the submission deadlines and the responsible authorities. The key difference is that transport work data is collecte</w:t>
      </w:r>
      <w:r>
        <w:rPr>
          <w:rFonts w:ascii="Calibri" w:eastAsia="Calibri" w:hAnsi="Calibri" w:cs="Calibri"/>
        </w:rPr>
        <w:t>d under the EU MRV scheme, whereas IMO DCS collects deadweight tonnage (DWT) and total distance travelled, the product of which is a proxy for transport work.</w:t>
      </w:r>
    </w:p>
    <w:p w14:paraId="0000010C" w14:textId="77777777" w:rsidR="001E40A1" w:rsidRDefault="001E40A1">
      <w:pPr>
        <w:rPr>
          <w:rFonts w:ascii="Calibri" w:eastAsia="Calibri" w:hAnsi="Calibri" w:cs="Calibri"/>
        </w:rPr>
      </w:pPr>
    </w:p>
    <w:p w14:paraId="0000010D" w14:textId="77777777" w:rsidR="001E40A1" w:rsidRDefault="007A0446">
      <w:pPr>
        <w:pStyle w:val="Heading2"/>
        <w:numPr>
          <w:ilvl w:val="1"/>
          <w:numId w:val="2"/>
        </w:numPr>
        <w:rPr>
          <w:rFonts w:ascii="Calibri" w:eastAsia="Calibri" w:hAnsi="Calibri" w:cs="Calibri"/>
          <w:sz w:val="20"/>
          <w:szCs w:val="20"/>
        </w:rPr>
      </w:pPr>
      <w:bookmarkStart w:id="14" w:name="_heading=h.35nkun2" w:colFirst="0" w:colLast="0"/>
      <w:bookmarkEnd w:id="14"/>
      <w:r>
        <w:rPr>
          <w:rFonts w:ascii="Calibri" w:eastAsia="Calibri" w:hAnsi="Calibri" w:cs="Calibri"/>
          <w:sz w:val="20"/>
          <w:szCs w:val="20"/>
        </w:rPr>
        <w:t xml:space="preserve">Impact of Climate Change on Shipping and Adaptation Strategies </w:t>
      </w:r>
    </w:p>
    <w:p w14:paraId="0000010E" w14:textId="77777777" w:rsidR="001E40A1" w:rsidRDefault="001E40A1">
      <w:pPr>
        <w:pBdr>
          <w:top w:val="nil"/>
          <w:left w:val="nil"/>
          <w:bottom w:val="nil"/>
          <w:right w:val="nil"/>
          <w:between w:val="nil"/>
        </w:pBdr>
        <w:rPr>
          <w:rFonts w:ascii="Calibri" w:eastAsia="Calibri" w:hAnsi="Calibri" w:cs="Calibri"/>
          <w:color w:val="000000"/>
        </w:rPr>
      </w:pPr>
    </w:p>
    <w:p w14:paraId="0000010F" w14:textId="77777777" w:rsidR="001E40A1" w:rsidRDefault="007A0446">
      <w:pPr>
        <w:jc w:val="both"/>
        <w:rPr>
          <w:rFonts w:ascii="Calibri" w:eastAsia="Calibri" w:hAnsi="Calibri" w:cs="Calibri"/>
          <w:highlight w:val="white"/>
        </w:rPr>
      </w:pPr>
      <w:r>
        <w:rPr>
          <w:rFonts w:ascii="Calibri" w:eastAsia="Calibri" w:hAnsi="Calibri" w:cs="Calibri"/>
        </w:rPr>
        <w:t xml:space="preserve">The effects of climate change on the shipping industry will be felt at sea and onshore. </w:t>
      </w:r>
      <w:r>
        <w:rPr>
          <w:rFonts w:ascii="Calibri" w:eastAsia="Calibri" w:hAnsi="Calibri" w:cs="Calibri"/>
          <w:highlight w:val="white"/>
        </w:rPr>
        <w:t>Changes in sea-level, temperature, humidity, salinity, precipitation, extreme weather, floods, increased fog and other climatic events are likely to affect ports and sh</w:t>
      </w:r>
      <w:r>
        <w:rPr>
          <w:rFonts w:ascii="Calibri" w:eastAsia="Calibri" w:hAnsi="Calibri" w:cs="Calibri"/>
          <w:highlight w:val="white"/>
        </w:rPr>
        <w:t xml:space="preserve">ipping routes as well as connecting transport infrastructure and the global network of supply-chains. </w:t>
      </w:r>
      <w:r>
        <w:rPr>
          <w:rFonts w:ascii="Calibri" w:eastAsia="Calibri" w:hAnsi="Calibri" w:cs="Calibri"/>
          <w:color w:val="000000"/>
          <w:highlight w:val="white"/>
        </w:rPr>
        <w:t>The potential for damages, delays and disruptions across closely linked global supply chains means that addressing the impact of climate change on key tra</w:t>
      </w:r>
      <w:r>
        <w:rPr>
          <w:rFonts w:ascii="Calibri" w:eastAsia="Calibri" w:hAnsi="Calibri" w:cs="Calibri"/>
          <w:color w:val="000000"/>
          <w:highlight w:val="white"/>
        </w:rPr>
        <w:t>nsport infrastructure is of strategic economic importance.</w:t>
      </w:r>
    </w:p>
    <w:p w14:paraId="00000110" w14:textId="77777777" w:rsidR="001E40A1" w:rsidRDefault="001E40A1">
      <w:pPr>
        <w:jc w:val="both"/>
        <w:rPr>
          <w:rFonts w:ascii="Calibri" w:eastAsia="Calibri" w:hAnsi="Calibri" w:cs="Calibri"/>
        </w:rPr>
      </w:pPr>
    </w:p>
    <w:p w14:paraId="00000111" w14:textId="77777777" w:rsidR="001E40A1" w:rsidRDefault="007A0446">
      <w:pPr>
        <w:jc w:val="both"/>
        <w:rPr>
          <w:rFonts w:ascii="Calibri" w:eastAsia="Calibri" w:hAnsi="Calibri" w:cs="Calibri"/>
        </w:rPr>
      </w:pPr>
      <w:r>
        <w:rPr>
          <w:rFonts w:ascii="Calibri" w:eastAsia="Calibri" w:hAnsi="Calibri" w:cs="Calibri"/>
        </w:rPr>
        <w:t>Ports are particularly susceptible to climate change risks. There are over 3,700 maritime ports around the world enabling global and local commerce, 60% of the goods loaded and 63% of the goods un</w:t>
      </w:r>
      <w:r>
        <w:rPr>
          <w:rFonts w:ascii="Calibri" w:eastAsia="Calibri" w:hAnsi="Calibri" w:cs="Calibri"/>
        </w:rPr>
        <w:t>loaded at these ports are in developing countries.</w:t>
      </w:r>
      <w:r>
        <w:rPr>
          <w:rFonts w:ascii="Calibri" w:eastAsia="Calibri" w:hAnsi="Calibri" w:cs="Calibri"/>
          <w:color w:val="000000"/>
          <w:vertAlign w:val="superscript"/>
        </w:rPr>
        <w:footnoteReference w:id="24"/>
      </w:r>
      <w:r>
        <w:rPr>
          <w:rFonts w:ascii="Calibri" w:eastAsia="Calibri" w:hAnsi="Calibri" w:cs="Calibri"/>
        </w:rPr>
        <w:t xml:space="preserve"> As sea levels rise, there are obvious risks for coastal areas and coastal infrastructure. Potential investments in these areas are also a focal point for our Adaptation and Resilience Expert Group (AREG)</w:t>
      </w:r>
      <w:r>
        <w:rPr>
          <w:rFonts w:ascii="Calibri" w:eastAsia="Calibri" w:hAnsi="Calibri" w:cs="Calibri"/>
        </w:rPr>
        <w:t xml:space="preserve">. The supporting infrastructure for decarbonising the shipping sector may require additional guidance on adaptation and resilience. </w:t>
      </w:r>
    </w:p>
    <w:p w14:paraId="00000112" w14:textId="77777777" w:rsidR="001E40A1" w:rsidRDefault="001E40A1">
      <w:pPr>
        <w:jc w:val="both"/>
        <w:rPr>
          <w:rFonts w:ascii="Calibri" w:eastAsia="Calibri" w:hAnsi="Calibri" w:cs="Calibri"/>
        </w:rPr>
      </w:pPr>
    </w:p>
    <w:p w14:paraId="00000113" w14:textId="77777777" w:rsidR="001E40A1" w:rsidRDefault="007A0446">
      <w:pPr>
        <w:jc w:val="both"/>
        <w:rPr>
          <w:rFonts w:ascii="Calibri" w:eastAsia="Calibri" w:hAnsi="Calibri" w:cs="Calibri"/>
          <w:strike/>
        </w:rPr>
      </w:pPr>
      <w:r>
        <w:rPr>
          <w:rFonts w:ascii="Calibri" w:eastAsia="Calibri" w:hAnsi="Calibri" w:cs="Calibri"/>
        </w:rPr>
        <w:t>It is uncertain how climate change will impact the environmental conditions encountered by ocean-going vessels. Changes in</w:t>
      </w:r>
      <w:r>
        <w:rPr>
          <w:rFonts w:ascii="Calibri" w:eastAsia="Calibri" w:hAnsi="Calibri" w:cs="Calibri"/>
        </w:rPr>
        <w:t xml:space="preserve"> wave heights and wind speeds and ocean current patterns may impact regulations on ship designs and other structure designs. Structural failure may result in loss of human life, environmental damages and economic disruptions. In addition to changing wave a</w:t>
      </w:r>
      <w:r>
        <w:rPr>
          <w:rFonts w:ascii="Calibri" w:eastAsia="Calibri" w:hAnsi="Calibri" w:cs="Calibri"/>
        </w:rPr>
        <w:t>nd wind patterns, climate change will contribute to changes in the pH level of oceans and their marine ecosystems which in turn could contribute to changes in hull condition rates of deterioration and potentially also marine growth on ships.</w:t>
      </w:r>
      <w:r>
        <w:rPr>
          <w:rFonts w:ascii="Calibri" w:eastAsia="Calibri" w:hAnsi="Calibri" w:cs="Calibri"/>
          <w:color w:val="000000"/>
          <w:vertAlign w:val="superscript"/>
        </w:rPr>
        <w:footnoteReference w:id="25"/>
      </w:r>
      <w:r>
        <w:rPr>
          <w:rFonts w:ascii="Calibri" w:eastAsia="Calibri" w:hAnsi="Calibri" w:cs="Calibri"/>
        </w:rPr>
        <w:t xml:space="preserve">  </w:t>
      </w:r>
    </w:p>
    <w:p w14:paraId="00000114" w14:textId="77777777" w:rsidR="001E40A1" w:rsidRDefault="001E40A1">
      <w:pPr>
        <w:rPr>
          <w:rFonts w:ascii="Calibri" w:eastAsia="Calibri" w:hAnsi="Calibri" w:cs="Calibri"/>
        </w:rPr>
      </w:pPr>
    </w:p>
    <w:p w14:paraId="00000115" w14:textId="77777777" w:rsidR="001E40A1" w:rsidRDefault="007A0446">
      <w:pPr>
        <w:pStyle w:val="Heading2"/>
        <w:numPr>
          <w:ilvl w:val="1"/>
          <w:numId w:val="2"/>
        </w:numPr>
        <w:rPr>
          <w:rFonts w:ascii="Calibri" w:eastAsia="Calibri" w:hAnsi="Calibri" w:cs="Calibri"/>
          <w:sz w:val="20"/>
          <w:szCs w:val="20"/>
        </w:rPr>
      </w:pPr>
      <w:bookmarkStart w:id="15" w:name="_heading=h.1ksv4uv" w:colFirst="0" w:colLast="0"/>
      <w:bookmarkEnd w:id="15"/>
      <w:r>
        <w:rPr>
          <w:rFonts w:ascii="Calibri" w:eastAsia="Calibri" w:hAnsi="Calibri" w:cs="Calibri"/>
          <w:sz w:val="20"/>
          <w:szCs w:val="20"/>
        </w:rPr>
        <w:t>Investment need/how is shipping currently financed?</w:t>
      </w:r>
    </w:p>
    <w:p w14:paraId="00000116" w14:textId="77777777" w:rsidR="001E40A1" w:rsidRDefault="001E40A1">
      <w:pPr>
        <w:rPr>
          <w:rFonts w:ascii="Calibri" w:eastAsia="Calibri" w:hAnsi="Calibri" w:cs="Calibri"/>
        </w:rPr>
      </w:pPr>
    </w:p>
    <w:p w14:paraId="00000117" w14:textId="77777777" w:rsidR="001E40A1" w:rsidRDefault="007A0446">
      <w:pPr>
        <w:jc w:val="both"/>
        <w:rPr>
          <w:rFonts w:ascii="Calibri" w:eastAsia="Calibri" w:hAnsi="Calibri" w:cs="Calibri"/>
        </w:rPr>
      </w:pPr>
      <w:r>
        <w:rPr>
          <w:rFonts w:ascii="Calibri" w:eastAsia="Calibri" w:hAnsi="Calibri" w:cs="Calibri"/>
        </w:rPr>
        <w:t>Shipping is amongst the most capital-intensive industries. It utilises assets with high commercial value, and debt typically accounts for a large share in the capital structure of a shipping business. Be</w:t>
      </w:r>
      <w:r>
        <w:rPr>
          <w:rFonts w:ascii="Calibri" w:eastAsia="Calibri" w:hAnsi="Calibri" w:cs="Calibri"/>
        </w:rPr>
        <w:t>tween 2005 and 2017, over $1.5 trillion was invested in newbuild vessels, with contracting reaching $263 billion during the cycle peak of 2007.</w:t>
      </w:r>
      <w:r>
        <w:rPr>
          <w:rFonts w:ascii="Calibri" w:eastAsia="Calibri" w:hAnsi="Calibri" w:cs="Calibri"/>
          <w:color w:val="000000"/>
          <w:vertAlign w:val="superscript"/>
        </w:rPr>
        <w:footnoteReference w:id="26"/>
      </w:r>
      <w:r>
        <w:rPr>
          <w:rFonts w:ascii="Calibri" w:eastAsia="Calibri" w:hAnsi="Calibri" w:cs="Calibri"/>
        </w:rPr>
        <w:t xml:space="preserve"> Meeting this debt requires access to substantial amounts of capital to replace ageing vessels with new, more e</w:t>
      </w:r>
      <w:r>
        <w:rPr>
          <w:rFonts w:ascii="Calibri" w:eastAsia="Calibri" w:hAnsi="Calibri" w:cs="Calibri"/>
        </w:rPr>
        <w:t>fficient and environmentally friendly ones. Bank debt remains the shipping industry’s primary source of funding, but ship owners are also looking towards other financing sources, including bonds, convertible debt, capital and operating leases and preferred</w:t>
      </w:r>
      <w:r>
        <w:rPr>
          <w:rFonts w:ascii="Calibri" w:eastAsia="Calibri" w:hAnsi="Calibri" w:cs="Calibri"/>
        </w:rPr>
        <w:t xml:space="preserve"> equity structures.</w:t>
      </w:r>
      <w:r>
        <w:rPr>
          <w:rFonts w:ascii="Calibri" w:eastAsia="Calibri" w:hAnsi="Calibri" w:cs="Calibri"/>
          <w:color w:val="000000"/>
          <w:vertAlign w:val="superscript"/>
        </w:rPr>
        <w:footnoteReference w:id="27"/>
      </w:r>
      <w:r>
        <w:rPr>
          <w:rFonts w:ascii="Calibri" w:eastAsia="Calibri" w:hAnsi="Calibri" w:cs="Calibri"/>
        </w:rPr>
        <w:t xml:space="preserve"> </w:t>
      </w:r>
    </w:p>
    <w:p w14:paraId="00000118" w14:textId="77777777" w:rsidR="001E40A1" w:rsidRDefault="001E40A1">
      <w:pPr>
        <w:jc w:val="both"/>
        <w:rPr>
          <w:rFonts w:ascii="Calibri" w:eastAsia="Calibri" w:hAnsi="Calibri" w:cs="Calibri"/>
        </w:rPr>
      </w:pPr>
    </w:p>
    <w:p w14:paraId="00000119" w14:textId="77777777" w:rsidR="001E40A1" w:rsidRDefault="007A0446">
      <w:pPr>
        <w:jc w:val="both"/>
        <w:rPr>
          <w:rFonts w:ascii="Calibri" w:eastAsia="Calibri" w:hAnsi="Calibri" w:cs="Calibri"/>
          <w:color w:val="000000"/>
        </w:rPr>
      </w:pPr>
      <w:r>
        <w:rPr>
          <w:rFonts w:ascii="Calibri" w:eastAsia="Calibri" w:hAnsi="Calibri" w:cs="Calibri"/>
        </w:rPr>
        <w:t>Financial institutions, equity investors and shipowners face the risk of their assets becoming devalued due to either a carbon price and/or a switch to more expensive but lower GHG emitting fuels. Additional capital is needed to fin</w:t>
      </w:r>
      <w:r>
        <w:rPr>
          <w:rFonts w:ascii="Calibri" w:eastAsia="Calibri" w:hAnsi="Calibri" w:cs="Calibri"/>
        </w:rPr>
        <w:t>ance clean tech in the industry, which could be filled by climate bonds which target specific technologies. Figure 4 characterises shipping stakeholders according to their market exposure. Stakeholders include financial institutions, private equity investo</w:t>
      </w:r>
      <w:r>
        <w:rPr>
          <w:rFonts w:ascii="Calibri" w:eastAsia="Calibri" w:hAnsi="Calibri" w:cs="Calibri"/>
        </w:rPr>
        <w:t>rs, shipowners, operators and charterers. Bank lending (ship mortgage and corporate debt) is the largest source of financing in shipping. The top 40 banks lent around $400bn in 2017. Traditional banks are increasingly providing advice for clients on capita</w:t>
      </w:r>
      <w:r>
        <w:rPr>
          <w:rFonts w:ascii="Calibri" w:eastAsia="Calibri" w:hAnsi="Calibri" w:cs="Calibri"/>
        </w:rPr>
        <w:t>l market products and placements with less emphasis on direct bank debt lending, following the financial crisis in 2008. Debt capital markets represent a much smaller portion ($7bn), but the bond market has been growing as shipping companies look for other</w:t>
      </w:r>
      <w:r>
        <w:rPr>
          <w:rFonts w:ascii="Calibri" w:eastAsia="Calibri" w:hAnsi="Calibri" w:cs="Calibri"/>
        </w:rPr>
        <w:t xml:space="preserve"> sources of capital to fund shipping assets.</w:t>
      </w:r>
    </w:p>
    <w:p w14:paraId="0000011A" w14:textId="77777777" w:rsidR="001E40A1" w:rsidRDefault="001E40A1">
      <w:pPr>
        <w:rPr>
          <w:rFonts w:ascii="Calibri" w:eastAsia="Calibri" w:hAnsi="Calibri" w:cs="Calibri"/>
          <w:color w:val="000000"/>
        </w:rPr>
      </w:pPr>
    </w:p>
    <w:p w14:paraId="0000011B" w14:textId="77777777" w:rsidR="001E40A1" w:rsidRDefault="007A0446">
      <w:pPr>
        <w:rPr>
          <w:rFonts w:ascii="Calibri" w:eastAsia="Calibri" w:hAnsi="Calibri" w:cs="Calibri"/>
          <w:b/>
          <w:color w:val="000000"/>
        </w:rPr>
      </w:pPr>
      <w:r>
        <w:rPr>
          <w:rFonts w:ascii="Calibri" w:eastAsia="Calibri" w:hAnsi="Calibri" w:cs="Calibri"/>
          <w:b/>
          <w:color w:val="000000"/>
        </w:rPr>
        <w:t>Figure 4. Stakeholder Exposure Model</w:t>
      </w:r>
    </w:p>
    <w:p w14:paraId="0000011C" w14:textId="77777777" w:rsidR="001E40A1" w:rsidRDefault="001E40A1">
      <w:pPr>
        <w:rPr>
          <w:rFonts w:ascii="Calibri" w:eastAsia="Calibri" w:hAnsi="Calibri" w:cs="Calibri"/>
          <w:b/>
          <w:color w:val="000000"/>
        </w:rPr>
      </w:pPr>
    </w:p>
    <w:p w14:paraId="0000011D" w14:textId="77777777" w:rsidR="001E40A1" w:rsidRDefault="007A0446">
      <w:pPr>
        <w:rPr>
          <w:rFonts w:ascii="Calibri" w:eastAsia="Calibri" w:hAnsi="Calibri" w:cs="Calibri"/>
          <w:color w:val="000000"/>
        </w:rPr>
      </w:pPr>
      <w:r>
        <w:rPr>
          <w:rFonts w:ascii="Calibri" w:eastAsia="Calibri" w:hAnsi="Calibri" w:cs="Calibri"/>
          <w:noProof/>
        </w:rPr>
        <w:lastRenderedPageBreak/>
        <w:drawing>
          <wp:inline distT="0" distB="0" distL="0" distR="0">
            <wp:extent cx="6357661" cy="3917965"/>
            <wp:effectExtent l="0" t="0" r="0" b="0"/>
            <wp:docPr id="24" name="image8.jpg" descr="Macintosh HD:Users:Tristan:Dropbox (UCL-shipping):projects:ETI centre of excellence:Stakeholders:Stakeholder model v2:Slide1.jpg"/>
            <wp:cNvGraphicFramePr/>
            <a:graphic xmlns:a="http://schemas.openxmlformats.org/drawingml/2006/main">
              <a:graphicData uri="http://schemas.openxmlformats.org/drawingml/2006/picture">
                <pic:pic xmlns:pic="http://schemas.openxmlformats.org/drawingml/2006/picture">
                  <pic:nvPicPr>
                    <pic:cNvPr id="0" name="image8.jpg" descr="Macintosh HD:Users:Tristan:Dropbox (UCL-shipping):projects:ETI centre of excellence:Stakeholders:Stakeholder model v2:Slide1.jpg"/>
                    <pic:cNvPicPr preferRelativeResize="0"/>
                  </pic:nvPicPr>
                  <pic:blipFill>
                    <a:blip r:embed="rId19"/>
                    <a:srcRect t="9212" b="4236"/>
                    <a:stretch>
                      <a:fillRect/>
                    </a:stretch>
                  </pic:blipFill>
                  <pic:spPr>
                    <a:xfrm>
                      <a:off x="0" y="0"/>
                      <a:ext cx="6357661" cy="3917965"/>
                    </a:xfrm>
                    <a:prstGeom prst="rect">
                      <a:avLst/>
                    </a:prstGeom>
                    <a:ln/>
                  </pic:spPr>
                </pic:pic>
              </a:graphicData>
            </a:graphic>
          </wp:inline>
        </w:drawing>
      </w:r>
    </w:p>
    <w:p w14:paraId="0000011E" w14:textId="77777777" w:rsidR="001E40A1" w:rsidRDefault="001E40A1">
      <w:pPr>
        <w:rPr>
          <w:rFonts w:ascii="Calibri" w:eastAsia="Calibri" w:hAnsi="Calibri" w:cs="Calibri"/>
        </w:rPr>
      </w:pPr>
    </w:p>
    <w:p w14:paraId="0000011F" w14:textId="77777777" w:rsidR="001E40A1" w:rsidRDefault="007A0446">
      <w:pPr>
        <w:keepNext/>
        <w:pBdr>
          <w:top w:val="nil"/>
          <w:left w:val="nil"/>
          <w:bottom w:val="nil"/>
          <w:right w:val="nil"/>
          <w:between w:val="nil"/>
        </w:pBdr>
        <w:spacing w:after="200"/>
        <w:rPr>
          <w:rFonts w:ascii="Calibri" w:eastAsia="Calibri" w:hAnsi="Calibri" w:cs="Calibri"/>
          <w:color w:val="000000"/>
        </w:rPr>
      </w:pPr>
      <w:bookmarkStart w:id="16" w:name="_heading=h.44sinio" w:colFirst="0" w:colLast="0"/>
      <w:bookmarkEnd w:id="16"/>
      <w:r>
        <w:rPr>
          <w:rFonts w:ascii="Calibri" w:eastAsia="Calibri" w:hAnsi="Calibri" w:cs="Calibri"/>
          <w:color w:val="000000"/>
        </w:rPr>
        <w:t>Figure 5: Supplemental description of shipping stakeholders and their respective exposure to bunkering cost and asset value risks for Figure 4 above.</w:t>
      </w:r>
    </w:p>
    <w:p w14:paraId="00000120" w14:textId="77777777" w:rsidR="001E40A1" w:rsidRDefault="007A0446">
      <w:pPr>
        <w:rPr>
          <w:rFonts w:ascii="Calibri" w:eastAsia="Calibri" w:hAnsi="Calibri" w:cs="Calibri"/>
        </w:rPr>
      </w:pPr>
      <w:r>
        <w:rPr>
          <w:rFonts w:ascii="Calibri" w:eastAsia="Calibri" w:hAnsi="Calibri" w:cs="Calibri"/>
          <w:noProof/>
        </w:rPr>
        <w:drawing>
          <wp:inline distT="0" distB="0" distL="0" distR="0">
            <wp:extent cx="6410414" cy="3907426"/>
            <wp:effectExtent l="0" t="0" r="0" b="0"/>
            <wp:docPr id="27" name="image3.jpg" descr="Macintosh HD:Users:Tristan:Dropbox (UCL-shipping):projects:ETI centre of excellence:Stakeholders:Stakeholder model v2:Slide2.jpg"/>
            <wp:cNvGraphicFramePr/>
            <a:graphic xmlns:a="http://schemas.openxmlformats.org/drawingml/2006/main">
              <a:graphicData uri="http://schemas.openxmlformats.org/drawingml/2006/picture">
                <pic:pic xmlns:pic="http://schemas.openxmlformats.org/drawingml/2006/picture">
                  <pic:nvPicPr>
                    <pic:cNvPr id="0" name="image3.jpg" descr="Macintosh HD:Users:Tristan:Dropbox (UCL-shipping):projects:ETI centre of excellence:Stakeholders:Stakeholder model v2:Slide2.jpg"/>
                    <pic:cNvPicPr preferRelativeResize="0"/>
                  </pic:nvPicPr>
                  <pic:blipFill>
                    <a:blip r:embed="rId20"/>
                    <a:srcRect l="7707" t="23918" r="19241" b="11466"/>
                    <a:stretch>
                      <a:fillRect/>
                    </a:stretch>
                  </pic:blipFill>
                  <pic:spPr>
                    <a:xfrm>
                      <a:off x="0" y="0"/>
                      <a:ext cx="6410414" cy="3907426"/>
                    </a:xfrm>
                    <a:prstGeom prst="rect">
                      <a:avLst/>
                    </a:prstGeom>
                    <a:ln/>
                  </pic:spPr>
                </pic:pic>
              </a:graphicData>
            </a:graphic>
          </wp:inline>
        </w:drawing>
      </w:r>
    </w:p>
    <w:p w14:paraId="00000121" w14:textId="77777777" w:rsidR="001E40A1" w:rsidRDefault="001E40A1">
      <w:pPr>
        <w:rPr>
          <w:rFonts w:ascii="Calibri" w:eastAsia="Calibri" w:hAnsi="Calibri" w:cs="Calibri"/>
        </w:rPr>
      </w:pPr>
    </w:p>
    <w:p w14:paraId="00000122" w14:textId="77777777" w:rsidR="001E40A1" w:rsidRDefault="007A0446">
      <w:pPr>
        <w:jc w:val="both"/>
        <w:rPr>
          <w:rFonts w:ascii="Calibri" w:eastAsia="Calibri" w:hAnsi="Calibri" w:cs="Calibri"/>
        </w:rPr>
      </w:pPr>
      <w:r>
        <w:rPr>
          <w:rFonts w:ascii="Calibri" w:eastAsia="Calibri" w:hAnsi="Calibri" w:cs="Calibri"/>
        </w:rPr>
        <w:lastRenderedPageBreak/>
        <w:t xml:space="preserve">It is important to characterise different investment needs or risks for stakeholders. Finance and risk </w:t>
      </w:r>
      <w:r>
        <w:rPr>
          <w:rFonts w:ascii="Calibri" w:eastAsia="Calibri" w:hAnsi="Calibri" w:cs="Calibri"/>
        </w:rPr>
        <w:t>can be categorised using the characterisation from Figure 5, under the following headings:</w:t>
      </w:r>
    </w:p>
    <w:p w14:paraId="00000123" w14:textId="77777777" w:rsidR="001E40A1" w:rsidRDefault="007A0446">
      <w:pPr>
        <w:jc w:val="both"/>
        <w:rPr>
          <w:rFonts w:ascii="Calibri" w:eastAsia="Calibri" w:hAnsi="Calibri" w:cs="Calibri"/>
        </w:rPr>
      </w:pPr>
      <w:r>
        <w:rPr>
          <w:rFonts w:ascii="Calibri" w:eastAsia="Calibri" w:hAnsi="Calibri" w:cs="Calibri"/>
        </w:rPr>
        <w:br/>
      </w:r>
      <w:r>
        <w:rPr>
          <w:rFonts w:ascii="Calibri" w:eastAsia="Calibri" w:hAnsi="Calibri" w:cs="Calibri"/>
          <w:b/>
        </w:rPr>
        <w:t xml:space="preserve">Financial institutions: </w:t>
      </w:r>
      <w:r>
        <w:rPr>
          <w:rFonts w:ascii="Calibri" w:eastAsia="Calibri" w:hAnsi="Calibri" w:cs="Calibri"/>
        </w:rPr>
        <w:t>focused on asset valuation risk and/or cashflow depending on the finance product, asset class, owner credit etc.</w:t>
      </w:r>
    </w:p>
    <w:p w14:paraId="00000124" w14:textId="77777777" w:rsidR="001E40A1" w:rsidRDefault="007A0446">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br/>
      </w:r>
      <w:r>
        <w:rPr>
          <w:rFonts w:ascii="Calibri" w:eastAsia="Calibri" w:hAnsi="Calibri" w:cs="Calibri"/>
          <w:b/>
        </w:rPr>
        <w:t>Asset heavy (Shipowners and shipping investors):</w:t>
      </w:r>
      <w:r>
        <w:rPr>
          <w:rFonts w:ascii="Calibri" w:eastAsia="Calibri" w:hAnsi="Calibri" w:cs="Calibri"/>
        </w:rPr>
        <w:t xml:space="preserve"> have at least four considerations in their business model – i) Cyclical risk, ii) charter parties and periods, iii) financial leverage, iv) residual values. All ship investors will be somewhere on a scale be</w:t>
      </w:r>
      <w:r>
        <w:rPr>
          <w:rFonts w:ascii="Calibri" w:eastAsia="Calibri" w:hAnsi="Calibri" w:cs="Calibri"/>
        </w:rPr>
        <w:t>tween having strong asset value focus (asset players) and, at the other end, firmly focused on maximising operational profitability where the asset is seen only as a capital cost (with some residual value risk). Generally speaking, the shorter the investme</w:t>
      </w:r>
      <w:r>
        <w:rPr>
          <w:rFonts w:ascii="Calibri" w:eastAsia="Calibri" w:hAnsi="Calibri" w:cs="Calibri"/>
        </w:rPr>
        <w:t>nt horizon, the more focused on asset value an investor will be, where someone focused on operating returns will have a longer investment horizon or a blended approach; timing investments with cycles and covering cargo commitments. Short term investors (3-</w:t>
      </w:r>
      <w:r>
        <w:rPr>
          <w:rFonts w:ascii="Calibri" w:eastAsia="Calibri" w:hAnsi="Calibri" w:cs="Calibri"/>
        </w:rPr>
        <w:t xml:space="preserve">5 yrs) will generally want a positive cashflow and wish to reduce operational risk, so are more likely to fix period deals which provide greater visibility. </w:t>
      </w:r>
    </w:p>
    <w:p w14:paraId="00000125" w14:textId="77777777" w:rsidR="001E40A1" w:rsidRDefault="007A0446">
      <w:pPr>
        <w:jc w:val="both"/>
        <w:rPr>
          <w:rFonts w:ascii="Calibri" w:eastAsia="Calibri" w:hAnsi="Calibri" w:cs="Calibri"/>
        </w:rPr>
      </w:pPr>
      <w:r>
        <w:rPr>
          <w:rFonts w:ascii="Calibri" w:eastAsia="Calibri" w:hAnsi="Calibri" w:cs="Calibri"/>
        </w:rPr>
        <w:br/>
      </w:r>
      <w:r>
        <w:rPr>
          <w:rFonts w:ascii="Calibri" w:eastAsia="Calibri" w:hAnsi="Calibri" w:cs="Calibri"/>
          <w:b/>
        </w:rPr>
        <w:t>Asset light (operators and charterers):</w:t>
      </w:r>
      <w:r>
        <w:rPr>
          <w:rFonts w:ascii="Calibri" w:eastAsia="Calibri" w:hAnsi="Calibri" w:cs="Calibri"/>
        </w:rPr>
        <w:t xml:space="preserve"> will be somewhere on a scale between being focused on gen</w:t>
      </w:r>
      <w:r>
        <w:rPr>
          <w:rFonts w:ascii="Calibri" w:eastAsia="Calibri" w:hAnsi="Calibri" w:cs="Calibri"/>
        </w:rPr>
        <w:t>erating return through beating ‘the market’ (for example a trader with a long view might think of taking ships in on long period to cover his cargo position, and mark to market his/her position, benchmarking against the spot market or vice versa) and at th</w:t>
      </w:r>
      <w:r>
        <w:rPr>
          <w:rFonts w:ascii="Calibri" w:eastAsia="Calibri" w:hAnsi="Calibri" w:cs="Calibri"/>
        </w:rPr>
        <w:t xml:space="preserve">e other end of the scale, return through providing a value added service such as the portion of a carrier’s fleet that is chartered-in (hired), where ships are chartered to maintain a liner route. </w:t>
      </w:r>
      <w:r>
        <w:rPr>
          <w:rFonts w:ascii="Calibri" w:eastAsia="Calibri" w:hAnsi="Calibri" w:cs="Calibri"/>
        </w:rPr>
        <w:tab/>
      </w:r>
      <w:r>
        <w:rPr>
          <w:rFonts w:ascii="Calibri" w:eastAsia="Calibri" w:hAnsi="Calibri" w:cs="Calibri"/>
        </w:rPr>
        <w:br/>
      </w:r>
      <w:r>
        <w:rPr>
          <w:rFonts w:ascii="Calibri" w:eastAsia="Calibri" w:hAnsi="Calibri" w:cs="Calibri"/>
        </w:rPr>
        <w:br/>
        <w:t>Shipping transportation services are typically either pr</w:t>
      </w:r>
      <w:r>
        <w:rPr>
          <w:rFonts w:ascii="Calibri" w:eastAsia="Calibri" w:hAnsi="Calibri" w:cs="Calibri"/>
        </w:rPr>
        <w:t>ovided directly by the shipowner (known as voyage or spot charter) or on a time-charter. In a time-charter, the cargo owner leases the ship for a period of time – either for a single voyage or a longer period of time. Under this contractual arrangement, th</w:t>
      </w:r>
      <w:r>
        <w:rPr>
          <w:rFonts w:ascii="Calibri" w:eastAsia="Calibri" w:hAnsi="Calibri" w:cs="Calibri"/>
        </w:rPr>
        <w:t>e cargo owner pays for the fuel costs while the shipowner retains ownership responsibility (e.g., maintenance, investment in new technologies). Shipowners which operate predominantly in the spot market</w:t>
      </w:r>
      <w:r>
        <w:rPr>
          <w:rFonts w:ascii="Calibri" w:eastAsia="Calibri" w:hAnsi="Calibri" w:cs="Calibri"/>
          <w:color w:val="000000"/>
          <w:vertAlign w:val="superscript"/>
        </w:rPr>
        <w:footnoteReference w:id="28"/>
      </w:r>
      <w:r>
        <w:rPr>
          <w:rFonts w:ascii="Calibri" w:eastAsia="Calibri" w:hAnsi="Calibri" w:cs="Calibri"/>
        </w:rPr>
        <w:t xml:space="preserve"> (e.g., tankers) face direct exposure to the voyage f</w:t>
      </w:r>
      <w:r>
        <w:rPr>
          <w:rFonts w:ascii="Calibri" w:eastAsia="Calibri" w:hAnsi="Calibri" w:cs="Calibri"/>
        </w:rPr>
        <w:t>uel cost and fuel efficiency improvement, while shipowners that operate in markets which are predominantly time-charter (e.g., bulk shipping) are less incentivised to invest in fuel efficiency improvements because they are not always rewarded through a hig</w:t>
      </w:r>
      <w:r>
        <w:rPr>
          <w:rFonts w:ascii="Calibri" w:eastAsia="Calibri" w:hAnsi="Calibri" w:cs="Calibri"/>
        </w:rPr>
        <w:t>her time charter rate.</w:t>
      </w:r>
    </w:p>
    <w:p w14:paraId="00000126" w14:textId="77777777" w:rsidR="001E40A1" w:rsidRDefault="001E40A1">
      <w:pPr>
        <w:rPr>
          <w:rFonts w:ascii="Calibri" w:eastAsia="Calibri" w:hAnsi="Calibri" w:cs="Calibri"/>
        </w:rPr>
      </w:pPr>
    </w:p>
    <w:p w14:paraId="00000127" w14:textId="77777777" w:rsidR="001E40A1" w:rsidRDefault="007A0446">
      <w:pPr>
        <w:pStyle w:val="Heading2"/>
        <w:numPr>
          <w:ilvl w:val="1"/>
          <w:numId w:val="2"/>
        </w:numPr>
        <w:rPr>
          <w:rFonts w:ascii="Calibri" w:eastAsia="Calibri" w:hAnsi="Calibri" w:cs="Calibri"/>
          <w:sz w:val="20"/>
          <w:szCs w:val="20"/>
        </w:rPr>
      </w:pPr>
      <w:bookmarkStart w:id="17" w:name="_heading=h.2jxsxqh" w:colFirst="0" w:colLast="0"/>
      <w:bookmarkEnd w:id="17"/>
      <w:r>
        <w:rPr>
          <w:rFonts w:ascii="Calibri" w:eastAsia="Calibri" w:hAnsi="Calibri" w:cs="Calibri"/>
          <w:sz w:val="20"/>
          <w:szCs w:val="20"/>
        </w:rPr>
        <w:t>Bonds in the Sector</w:t>
      </w:r>
    </w:p>
    <w:p w14:paraId="00000128" w14:textId="77777777" w:rsidR="001E40A1" w:rsidRDefault="001E40A1">
      <w:pPr>
        <w:rPr>
          <w:rFonts w:ascii="Calibri" w:eastAsia="Calibri" w:hAnsi="Calibri" w:cs="Calibri"/>
        </w:rPr>
      </w:pPr>
    </w:p>
    <w:p w14:paraId="00000129" w14:textId="77777777" w:rsidR="001E40A1" w:rsidRDefault="007A0446">
      <w:pPr>
        <w:jc w:val="both"/>
        <w:rPr>
          <w:rFonts w:ascii="Calibri" w:eastAsia="Calibri" w:hAnsi="Calibri" w:cs="Calibri"/>
        </w:rPr>
      </w:pPr>
      <w:r>
        <w:rPr>
          <w:rFonts w:ascii="Calibri" w:eastAsia="Calibri" w:hAnsi="Calibri" w:cs="Calibri"/>
        </w:rPr>
        <w:t xml:space="preserve">Green bonds have begun to debut in the shipping sector. In 2018, green bonds were issued by Nippon Yusen Kaisha (NYK) and Mitsui OSK Lines (MOL). </w:t>
      </w:r>
      <w:r>
        <w:rPr>
          <w:rFonts w:ascii="Calibri" w:eastAsia="Calibri" w:hAnsi="Calibri" w:cs="Calibri"/>
          <w:color w:val="000000"/>
          <w:highlight w:val="white"/>
        </w:rPr>
        <w:t xml:space="preserve">Proceeds from NYK’s first green bond will be used to finance and </w:t>
      </w:r>
      <w:r>
        <w:rPr>
          <w:rFonts w:ascii="Calibri" w:eastAsia="Calibri" w:hAnsi="Calibri" w:cs="Calibri"/>
          <w:color w:val="000000"/>
          <w:highlight w:val="white"/>
        </w:rPr>
        <w:t>refinance LNG-fuelled ships, LNG-bunkering ships, ballast water management systems and SOx scrubber systems. NYK also took a green loan to support investments in methanol-fuelled ships. The project is positioned as part of the research for future fuel conv</w:t>
      </w:r>
      <w:r>
        <w:rPr>
          <w:rFonts w:ascii="Calibri" w:eastAsia="Calibri" w:hAnsi="Calibri" w:cs="Calibri"/>
          <w:color w:val="000000"/>
          <w:highlight w:val="white"/>
        </w:rPr>
        <w:t>ersion of ships.</w:t>
      </w:r>
    </w:p>
    <w:p w14:paraId="0000012A" w14:textId="77777777" w:rsidR="001E40A1" w:rsidRDefault="001E40A1">
      <w:pPr>
        <w:jc w:val="both"/>
        <w:rPr>
          <w:rFonts w:ascii="Calibri" w:eastAsia="Calibri" w:hAnsi="Calibri" w:cs="Calibri"/>
          <w:highlight w:val="white"/>
        </w:rPr>
      </w:pPr>
    </w:p>
    <w:p w14:paraId="0000012B" w14:textId="77777777" w:rsidR="001E40A1" w:rsidRDefault="007A0446">
      <w:pPr>
        <w:jc w:val="both"/>
        <w:rPr>
          <w:rFonts w:ascii="Calibri" w:eastAsia="Calibri" w:hAnsi="Calibri" w:cs="Calibri"/>
        </w:rPr>
      </w:pPr>
      <w:r>
        <w:rPr>
          <w:rFonts w:ascii="Calibri" w:eastAsia="Calibri" w:hAnsi="Calibri" w:cs="Calibri"/>
          <w:highlight w:val="white"/>
        </w:rPr>
        <w:t>As with NYK’s first green bond, proceeds from MOL’s bond will finance and refinance LNG-fuelled ships, LNG-bunkering ships, ballast water management systems and SOx scrubber systems. Under its Green Bond Framework, NYK and MOL have commit</w:t>
      </w:r>
      <w:r>
        <w:rPr>
          <w:rFonts w:ascii="Calibri" w:eastAsia="Calibri" w:hAnsi="Calibri" w:cs="Calibri"/>
          <w:highlight w:val="white"/>
        </w:rPr>
        <w:t>ted to ensure the financed vessels will not be used to transport products that relate to high fossil-fuel and resource intensive industries including, but not limited to, coal, tar sands and oil shale.</w:t>
      </w:r>
    </w:p>
    <w:p w14:paraId="0000012C" w14:textId="77777777" w:rsidR="001E40A1" w:rsidRDefault="001E40A1">
      <w:pPr>
        <w:jc w:val="both"/>
        <w:rPr>
          <w:rFonts w:ascii="Calibri" w:eastAsia="Calibri" w:hAnsi="Calibri" w:cs="Calibri"/>
        </w:rPr>
      </w:pPr>
    </w:p>
    <w:p w14:paraId="0000012D" w14:textId="77777777" w:rsidR="001E40A1" w:rsidRDefault="007A0446">
      <w:pPr>
        <w:jc w:val="both"/>
        <w:rPr>
          <w:rFonts w:ascii="Calibri" w:eastAsia="Calibri" w:hAnsi="Calibri" w:cs="Calibri"/>
          <w:highlight w:val="white"/>
        </w:rPr>
      </w:pPr>
      <w:r>
        <w:rPr>
          <w:rFonts w:ascii="Calibri" w:eastAsia="Calibri" w:hAnsi="Calibri" w:cs="Calibri"/>
          <w:highlight w:val="white"/>
        </w:rPr>
        <w:t>Climate Bonds commented on both issuances stating tha</w:t>
      </w:r>
      <w:r>
        <w:rPr>
          <w:rFonts w:ascii="Calibri" w:eastAsia="Calibri" w:hAnsi="Calibri" w:cs="Calibri"/>
          <w:highlight w:val="white"/>
        </w:rPr>
        <w:t>t switching to LNG-fuelled vessels is not enough to comply with a 2</w:t>
      </w:r>
      <w:r>
        <w:rPr>
          <w:rFonts w:ascii="Calibri" w:eastAsia="Calibri" w:hAnsi="Calibri" w:cs="Calibri"/>
        </w:rPr>
        <w:t>°C</w:t>
      </w:r>
      <w:r>
        <w:rPr>
          <w:rFonts w:ascii="Calibri" w:eastAsia="Calibri" w:hAnsi="Calibri" w:cs="Calibri"/>
          <w:highlight w:val="white"/>
        </w:rPr>
        <w:t xml:space="preserve"> decarbonisation trajectory in the long-run. However, the projects financed by the deals are currently the lowest-emission asset option until other renewable fuels become commercially via</w:t>
      </w:r>
      <w:r>
        <w:rPr>
          <w:rFonts w:ascii="Calibri" w:eastAsia="Calibri" w:hAnsi="Calibri" w:cs="Calibri"/>
          <w:highlight w:val="white"/>
        </w:rPr>
        <w:t>ble. It is nonetheless important to ensure the vessel design is flexible enough to avoid fossil fuel lock-ins in the future. There is a need for clear guidelines defining whether an asset is compatible with the reductions required to meet climate targets o</w:t>
      </w:r>
      <w:r>
        <w:rPr>
          <w:rFonts w:ascii="Calibri" w:eastAsia="Calibri" w:hAnsi="Calibri" w:cs="Calibri"/>
          <w:highlight w:val="white"/>
        </w:rPr>
        <w:t xml:space="preserve">ver the lifetime of the asset. This paper provides these climate compatibility guidelines. </w:t>
      </w:r>
    </w:p>
    <w:p w14:paraId="0000012E" w14:textId="77777777" w:rsidR="001E40A1" w:rsidRDefault="007A0446">
      <w:pPr>
        <w:rPr>
          <w:rFonts w:ascii="Calibri" w:eastAsia="Calibri" w:hAnsi="Calibri" w:cs="Calibri"/>
          <w:highlight w:val="white"/>
        </w:rPr>
      </w:pPr>
      <w:r>
        <w:br w:type="page"/>
      </w:r>
    </w:p>
    <w:p w14:paraId="0000012F" w14:textId="77777777" w:rsidR="001E40A1" w:rsidRDefault="007A0446">
      <w:pPr>
        <w:pStyle w:val="Heading1"/>
        <w:numPr>
          <w:ilvl w:val="0"/>
          <w:numId w:val="2"/>
        </w:numPr>
      </w:pPr>
      <w:bookmarkStart w:id="18" w:name="_heading=h.z337ya" w:colFirst="0" w:colLast="0"/>
      <w:bookmarkEnd w:id="18"/>
      <w:r>
        <w:lastRenderedPageBreak/>
        <w:t xml:space="preserve">Principles and Boundaries of the Criteria </w:t>
      </w:r>
    </w:p>
    <w:p w14:paraId="00000130" w14:textId="77777777" w:rsidR="001E40A1" w:rsidRDefault="001E40A1">
      <w:pPr>
        <w:rPr>
          <w:rFonts w:ascii="Calibri" w:eastAsia="Calibri" w:hAnsi="Calibri" w:cs="Calibri"/>
        </w:rPr>
      </w:pPr>
    </w:p>
    <w:p w14:paraId="00000131" w14:textId="77777777" w:rsidR="001E40A1" w:rsidRDefault="007A0446">
      <w:pPr>
        <w:pStyle w:val="Heading2"/>
        <w:numPr>
          <w:ilvl w:val="1"/>
          <w:numId w:val="2"/>
        </w:numPr>
        <w:rPr>
          <w:rFonts w:ascii="Calibri" w:eastAsia="Calibri" w:hAnsi="Calibri" w:cs="Calibri"/>
          <w:sz w:val="20"/>
          <w:szCs w:val="20"/>
        </w:rPr>
      </w:pPr>
      <w:bookmarkStart w:id="19" w:name="_heading=h.3j2qqm3" w:colFirst="0" w:colLast="0"/>
      <w:bookmarkEnd w:id="19"/>
      <w:r>
        <w:rPr>
          <w:rFonts w:ascii="Calibri" w:eastAsia="Calibri" w:hAnsi="Calibri" w:cs="Calibri"/>
          <w:sz w:val="20"/>
          <w:szCs w:val="20"/>
        </w:rPr>
        <w:t xml:space="preserve">Guiding Principles </w:t>
      </w:r>
    </w:p>
    <w:p w14:paraId="00000132" w14:textId="77777777" w:rsidR="001E40A1" w:rsidRDefault="001E40A1">
      <w:pPr>
        <w:rPr>
          <w:rFonts w:ascii="Calibri" w:eastAsia="Calibri" w:hAnsi="Calibri" w:cs="Calibri"/>
        </w:rPr>
      </w:pPr>
    </w:p>
    <w:p w14:paraId="00000133" w14:textId="77777777" w:rsidR="001E40A1" w:rsidRDefault="007A0446">
      <w:pPr>
        <w:jc w:val="both"/>
        <w:rPr>
          <w:rFonts w:ascii="Calibri" w:eastAsia="Calibri" w:hAnsi="Calibri" w:cs="Calibri"/>
        </w:rPr>
      </w:pPr>
      <w:r>
        <w:rPr>
          <w:rFonts w:ascii="Calibri" w:eastAsia="Calibri" w:hAnsi="Calibri" w:cs="Calibri"/>
        </w:rPr>
        <w:t>The Climate Bonds Standard needs to ensure that the Shipping assets and projects included in Cert</w:t>
      </w:r>
      <w:r>
        <w:rPr>
          <w:rFonts w:ascii="Calibri" w:eastAsia="Calibri" w:hAnsi="Calibri" w:cs="Calibri"/>
        </w:rPr>
        <w:t>ified Climate Bonds deliver on GHG mitigation potential and climate resilience benefits and are in line with best available scientific knowledge and compatible with the goals of the Paris Agreement. At the same time, the Shipping Criteria need to be pragma</w:t>
      </w:r>
      <w:r>
        <w:rPr>
          <w:rFonts w:ascii="Calibri" w:eastAsia="Calibri" w:hAnsi="Calibri" w:cs="Calibri"/>
        </w:rPr>
        <w:t>tic and readily usable by stakeholders in the market, to maximise engagement and use.  High transaction costs run the risk of reducing uptake of a Standard in the green bond market. Keeping the costs of assessment down while maintaining robust implementati</w:t>
      </w:r>
      <w:r>
        <w:rPr>
          <w:rFonts w:ascii="Calibri" w:eastAsia="Calibri" w:hAnsi="Calibri" w:cs="Calibri"/>
        </w:rPr>
        <w:t xml:space="preserve">on of the criteria is important. Table 2 sets out the principles guiding the development of the Shipping Sector Criteria to meet and balance between these two goals. </w:t>
      </w:r>
    </w:p>
    <w:p w14:paraId="00000134" w14:textId="77777777" w:rsidR="001E40A1" w:rsidRDefault="001E40A1">
      <w:pPr>
        <w:rPr>
          <w:rFonts w:ascii="Calibri" w:eastAsia="Calibri" w:hAnsi="Calibri" w:cs="Calibri"/>
        </w:rPr>
      </w:pPr>
    </w:p>
    <w:p w14:paraId="00000135" w14:textId="77777777" w:rsidR="001E40A1" w:rsidRDefault="007A0446">
      <w:pPr>
        <w:keepNext/>
        <w:pBdr>
          <w:top w:val="nil"/>
          <w:left w:val="nil"/>
          <w:bottom w:val="nil"/>
          <w:right w:val="nil"/>
          <w:between w:val="nil"/>
        </w:pBdr>
        <w:spacing w:after="200"/>
        <w:rPr>
          <w:rFonts w:ascii="Calibri" w:eastAsia="Calibri" w:hAnsi="Calibri" w:cs="Calibri"/>
          <w:color w:val="000000"/>
        </w:rPr>
      </w:pPr>
      <w:bookmarkStart w:id="20" w:name="_heading=h.1y810tw" w:colFirst="0" w:colLast="0"/>
      <w:bookmarkEnd w:id="20"/>
      <w:r>
        <w:rPr>
          <w:rFonts w:ascii="Calibri" w:eastAsia="Calibri" w:hAnsi="Calibri" w:cs="Calibri"/>
          <w:color w:val="000000"/>
        </w:rPr>
        <w:t>Table 2: Key principles for the design of the Climate Bond Standard Shipping Criteria</w:t>
      </w:r>
    </w:p>
    <w:tbl>
      <w:tblPr>
        <w:tblStyle w:val="a"/>
        <w:tblW w:w="99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517"/>
        <w:gridCol w:w="7401"/>
      </w:tblGrid>
      <w:tr w:rsidR="001E40A1" w14:paraId="4E26733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0000136" w14:textId="77777777" w:rsidR="001E40A1" w:rsidRDefault="007A0446">
            <w:pPr>
              <w:rPr>
                <w:rFonts w:ascii="Calibri" w:eastAsia="Calibri" w:hAnsi="Calibri" w:cs="Calibri"/>
              </w:rPr>
            </w:pPr>
            <w:r>
              <w:rPr>
                <w:rFonts w:ascii="Calibri" w:eastAsia="Calibri" w:hAnsi="Calibri" w:cs="Calibri"/>
              </w:rPr>
              <w:t>Principle</w:t>
            </w:r>
          </w:p>
        </w:tc>
        <w:tc>
          <w:tcPr>
            <w:tcW w:w="7401" w:type="dxa"/>
          </w:tcPr>
          <w:p w14:paraId="00000137" w14:textId="77777777" w:rsidR="001E40A1" w:rsidRDefault="007A044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Requirement for the Criteria</w:t>
            </w:r>
          </w:p>
        </w:tc>
      </w:tr>
      <w:tr w:rsidR="001E40A1" w14:paraId="341E44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0000138" w14:textId="77777777" w:rsidR="001E40A1" w:rsidRDefault="007A0446">
            <w:pPr>
              <w:rPr>
                <w:rFonts w:ascii="Calibri" w:eastAsia="Calibri" w:hAnsi="Calibri" w:cs="Calibri"/>
                <w:i/>
                <w:color w:val="000000"/>
              </w:rPr>
            </w:pPr>
            <w:r>
              <w:rPr>
                <w:rFonts w:ascii="Calibri" w:eastAsia="Calibri" w:hAnsi="Calibri" w:cs="Calibri"/>
                <w:b w:val="0"/>
                <w:i/>
                <w:color w:val="000000"/>
              </w:rPr>
              <w:t xml:space="preserve">Level of ambition </w:t>
            </w:r>
          </w:p>
        </w:tc>
        <w:tc>
          <w:tcPr>
            <w:tcW w:w="7401" w:type="dxa"/>
          </w:tcPr>
          <w:p w14:paraId="00000139"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Compatible with meeting the objective of keeping global warming well below 2° C above pre-industrial levels set by the Paris Agreement, and with a rapid transition to a low carbon and climate resilient economy. </w:t>
            </w:r>
          </w:p>
        </w:tc>
      </w:tr>
      <w:tr w:rsidR="001E40A1" w14:paraId="0840F9DC" w14:textId="77777777">
        <w:tc>
          <w:tcPr>
            <w:cnfStyle w:val="001000000000" w:firstRow="0" w:lastRow="0" w:firstColumn="1" w:lastColumn="0" w:oddVBand="0" w:evenVBand="0" w:oddHBand="0" w:evenHBand="0" w:firstRowFirstColumn="0" w:firstRowLastColumn="0" w:lastRowFirstColumn="0" w:lastRowLastColumn="0"/>
            <w:tcW w:w="2517" w:type="dxa"/>
          </w:tcPr>
          <w:p w14:paraId="0000013A" w14:textId="77777777" w:rsidR="001E40A1" w:rsidRDefault="007A0446">
            <w:pPr>
              <w:rPr>
                <w:rFonts w:ascii="Calibri" w:eastAsia="Calibri" w:hAnsi="Calibri" w:cs="Calibri"/>
                <w:i/>
                <w:color w:val="000000"/>
              </w:rPr>
            </w:pPr>
            <w:r>
              <w:rPr>
                <w:rFonts w:ascii="Calibri" w:eastAsia="Calibri" w:hAnsi="Calibri" w:cs="Calibri"/>
                <w:b w:val="0"/>
                <w:i/>
                <w:color w:val="000000"/>
              </w:rPr>
              <w:t>Robust system</w:t>
            </w:r>
          </w:p>
        </w:tc>
        <w:tc>
          <w:tcPr>
            <w:tcW w:w="7401" w:type="dxa"/>
          </w:tcPr>
          <w:p w14:paraId="0000013B"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Scientifically robust to main</w:t>
            </w:r>
            <w:r>
              <w:rPr>
                <w:rFonts w:ascii="Calibri" w:eastAsia="Calibri" w:hAnsi="Calibri" w:cs="Calibri"/>
              </w:rPr>
              <w:t xml:space="preserve">tain the credibility of the Climate Bond Standard.  </w:t>
            </w:r>
          </w:p>
        </w:tc>
      </w:tr>
      <w:tr w:rsidR="001E40A1" w14:paraId="3FBE1A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000013C" w14:textId="77777777" w:rsidR="001E40A1" w:rsidRDefault="007A0446">
            <w:pPr>
              <w:rPr>
                <w:rFonts w:ascii="Calibri" w:eastAsia="Calibri" w:hAnsi="Calibri" w:cs="Calibri"/>
                <w:i/>
                <w:color w:val="000000"/>
              </w:rPr>
            </w:pPr>
            <w:r>
              <w:rPr>
                <w:rFonts w:ascii="Calibri" w:eastAsia="Calibri" w:hAnsi="Calibri" w:cs="Calibri"/>
                <w:b w:val="0"/>
                <w:i/>
                <w:color w:val="000000"/>
              </w:rPr>
              <w:t>“Do not reinvent the wheel”</w:t>
            </w:r>
          </w:p>
        </w:tc>
        <w:tc>
          <w:tcPr>
            <w:tcW w:w="7401" w:type="dxa"/>
          </w:tcPr>
          <w:p w14:paraId="0000013D"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Harness existing robust, credible tools, methodologies, standards and data to assess the low carbon and climate resilient credentials of any technology, endorsed by multiple </w:t>
            </w:r>
            <w:r>
              <w:rPr>
                <w:rFonts w:ascii="Calibri" w:eastAsia="Calibri" w:hAnsi="Calibri" w:cs="Calibri"/>
              </w:rPr>
              <w:t>stakeholders where possible.</w:t>
            </w:r>
          </w:p>
        </w:tc>
      </w:tr>
      <w:tr w:rsidR="001E40A1" w14:paraId="7B0D84D0" w14:textId="77777777">
        <w:tc>
          <w:tcPr>
            <w:cnfStyle w:val="001000000000" w:firstRow="0" w:lastRow="0" w:firstColumn="1" w:lastColumn="0" w:oddVBand="0" w:evenVBand="0" w:oddHBand="0" w:evenHBand="0" w:firstRowFirstColumn="0" w:firstRowLastColumn="0" w:lastRowFirstColumn="0" w:lastRowLastColumn="0"/>
            <w:tcW w:w="2517" w:type="dxa"/>
          </w:tcPr>
          <w:p w14:paraId="0000013E" w14:textId="77777777" w:rsidR="001E40A1" w:rsidRDefault="007A0446">
            <w:pPr>
              <w:rPr>
                <w:rFonts w:ascii="Calibri" w:eastAsia="Calibri" w:hAnsi="Calibri" w:cs="Calibri"/>
                <w:i/>
                <w:color w:val="000000"/>
              </w:rPr>
            </w:pPr>
            <w:r>
              <w:rPr>
                <w:rFonts w:ascii="Calibri" w:eastAsia="Calibri" w:hAnsi="Calibri" w:cs="Calibri"/>
                <w:b w:val="0"/>
                <w:i/>
                <w:color w:val="000000"/>
              </w:rPr>
              <w:t>Level playing field</w:t>
            </w:r>
          </w:p>
        </w:tc>
        <w:tc>
          <w:tcPr>
            <w:tcW w:w="7401" w:type="dxa"/>
          </w:tcPr>
          <w:p w14:paraId="0000013F"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No discrimination against certain groups or geographies.</w:t>
            </w:r>
          </w:p>
        </w:tc>
      </w:tr>
      <w:tr w:rsidR="001E40A1" w14:paraId="50AD07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0000140" w14:textId="77777777" w:rsidR="001E40A1" w:rsidRDefault="007A0446">
            <w:pPr>
              <w:rPr>
                <w:rFonts w:ascii="Calibri" w:eastAsia="Calibri" w:hAnsi="Calibri" w:cs="Calibri"/>
                <w:i/>
                <w:color w:val="000000"/>
              </w:rPr>
            </w:pPr>
            <w:r>
              <w:rPr>
                <w:rFonts w:ascii="Calibri" w:eastAsia="Calibri" w:hAnsi="Calibri" w:cs="Calibri"/>
                <w:b w:val="0"/>
                <w:i/>
                <w:color w:val="000000"/>
              </w:rPr>
              <w:t>Multi-stakeholder support</w:t>
            </w:r>
          </w:p>
        </w:tc>
        <w:tc>
          <w:tcPr>
            <w:tcW w:w="7401" w:type="dxa"/>
          </w:tcPr>
          <w:p w14:paraId="00000141"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Supported by key stakeholders; those within the relevant industry, the financial community and broader civil society. </w:t>
            </w:r>
          </w:p>
        </w:tc>
      </w:tr>
      <w:tr w:rsidR="001E40A1" w14:paraId="19051DDB" w14:textId="77777777">
        <w:tc>
          <w:tcPr>
            <w:cnfStyle w:val="001000000000" w:firstRow="0" w:lastRow="0" w:firstColumn="1" w:lastColumn="0" w:oddVBand="0" w:evenVBand="0" w:oddHBand="0" w:evenHBand="0" w:firstRowFirstColumn="0" w:firstRowLastColumn="0" w:lastRowFirstColumn="0" w:lastRowLastColumn="0"/>
            <w:tcW w:w="2517" w:type="dxa"/>
          </w:tcPr>
          <w:p w14:paraId="00000142" w14:textId="77777777" w:rsidR="001E40A1" w:rsidRDefault="007A0446">
            <w:pPr>
              <w:rPr>
                <w:rFonts w:ascii="Calibri" w:eastAsia="Calibri" w:hAnsi="Calibri" w:cs="Calibri"/>
                <w:i/>
                <w:color w:val="000000"/>
              </w:rPr>
            </w:pPr>
            <w:r>
              <w:rPr>
                <w:rFonts w:ascii="Calibri" w:eastAsia="Calibri" w:hAnsi="Calibri" w:cs="Calibri"/>
                <w:b w:val="0"/>
                <w:i/>
                <w:color w:val="000000"/>
              </w:rPr>
              <w:t>Continuous improvement</w:t>
            </w:r>
          </w:p>
        </w:tc>
        <w:tc>
          <w:tcPr>
            <w:tcW w:w="7401" w:type="dxa"/>
          </w:tcPr>
          <w:p w14:paraId="00000143"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Subject to an evolving development process with the aim of driving continuous improvement and credibility in the </w:t>
            </w:r>
            <w:r>
              <w:rPr>
                <w:rFonts w:ascii="Calibri" w:eastAsia="Calibri" w:hAnsi="Calibri" w:cs="Calibri"/>
              </w:rPr>
              <w:t>green bond market.</w:t>
            </w:r>
          </w:p>
        </w:tc>
      </w:tr>
    </w:tbl>
    <w:p w14:paraId="00000144" w14:textId="77777777" w:rsidR="001E40A1" w:rsidRDefault="001E40A1">
      <w:pPr>
        <w:rPr>
          <w:rFonts w:ascii="Calibri" w:eastAsia="Calibri" w:hAnsi="Calibri" w:cs="Calibri"/>
        </w:rPr>
      </w:pPr>
    </w:p>
    <w:p w14:paraId="00000145" w14:textId="77777777" w:rsidR="001E40A1" w:rsidRDefault="007A0446">
      <w:pPr>
        <w:pStyle w:val="Heading2"/>
        <w:numPr>
          <w:ilvl w:val="1"/>
          <w:numId w:val="2"/>
        </w:numPr>
        <w:rPr>
          <w:rFonts w:ascii="Calibri" w:eastAsia="Calibri" w:hAnsi="Calibri" w:cs="Calibri"/>
          <w:sz w:val="20"/>
          <w:szCs w:val="20"/>
        </w:rPr>
      </w:pPr>
      <w:bookmarkStart w:id="21" w:name="_heading=h.4i7ojhp" w:colFirst="0" w:colLast="0"/>
      <w:bookmarkEnd w:id="21"/>
      <w:r>
        <w:rPr>
          <w:rFonts w:ascii="Calibri" w:eastAsia="Calibri" w:hAnsi="Calibri" w:cs="Calibri"/>
          <w:sz w:val="20"/>
          <w:szCs w:val="20"/>
        </w:rPr>
        <w:t>Scope of the Criteria</w:t>
      </w:r>
    </w:p>
    <w:p w14:paraId="00000146" w14:textId="77777777" w:rsidR="001E40A1" w:rsidRDefault="001E40A1">
      <w:pPr>
        <w:rPr>
          <w:rFonts w:ascii="Calibri" w:eastAsia="Calibri" w:hAnsi="Calibri" w:cs="Calibri"/>
        </w:rPr>
      </w:pPr>
    </w:p>
    <w:p w14:paraId="00000147" w14:textId="77777777" w:rsidR="001E40A1" w:rsidRDefault="007A0446">
      <w:pPr>
        <w:jc w:val="both"/>
        <w:rPr>
          <w:rFonts w:ascii="Calibri" w:eastAsia="Calibri" w:hAnsi="Calibri" w:cs="Calibri"/>
        </w:rPr>
      </w:pPr>
      <w:r>
        <w:rPr>
          <w:rFonts w:ascii="Calibri" w:eastAsia="Calibri" w:hAnsi="Calibri" w:cs="Calibri"/>
        </w:rPr>
        <w:t>The Climate-aligned Shipping Criteria are designed to apply to wide range of ships, provided that issuers are able to provide either the EEOI or Annual Efficiency Ratio (AER) data of the vessels on which the proc</w:t>
      </w:r>
      <w:r>
        <w:rPr>
          <w:rFonts w:ascii="Calibri" w:eastAsia="Calibri" w:hAnsi="Calibri" w:cs="Calibri"/>
        </w:rPr>
        <w:t>eeds of a bond will be used or, in the event this is not available (below), evidence that no fossil fuel has been used in the vessel’s operation.</w:t>
      </w:r>
    </w:p>
    <w:p w14:paraId="00000148" w14:textId="77777777" w:rsidR="001E40A1" w:rsidRDefault="007A0446">
      <w:pPr>
        <w:jc w:val="both"/>
        <w:rPr>
          <w:rFonts w:ascii="Calibri" w:eastAsia="Calibri" w:hAnsi="Calibri" w:cs="Calibri"/>
        </w:rPr>
      </w:pPr>
      <w:r>
        <w:rPr>
          <w:rFonts w:ascii="Calibri" w:eastAsia="Calibri" w:hAnsi="Calibri" w:cs="Calibri"/>
        </w:rPr>
        <w:br/>
        <w:t xml:space="preserve">With that in mind, it is important to note that only certain types of ships are within the scope of the EEOI </w:t>
      </w:r>
      <w:r>
        <w:rPr>
          <w:rFonts w:ascii="Calibri" w:eastAsia="Calibri" w:hAnsi="Calibri" w:cs="Calibri"/>
        </w:rPr>
        <w:t>and AER data systems. The EU MRV regulation applies to ships above 5000 GT trading on voyages that include ports within the EU Member States (MS). It excludes warships, naval auxiliaries, fish-catching or processing ships, wooden ships of a primitive build</w:t>
      </w:r>
      <w:r>
        <w:rPr>
          <w:rFonts w:ascii="Calibri" w:eastAsia="Calibri" w:hAnsi="Calibri" w:cs="Calibri"/>
        </w:rPr>
        <w:t>, ships not propelled by mechanical means, or government ships use for non-commercial purposes. The IMO DCS applies to ships of 5000 GT or above performing international voyages. Ships smaller than these size limits including those engaged on domestic voya</w:t>
      </w:r>
      <w:r>
        <w:rPr>
          <w:rFonts w:ascii="Calibri" w:eastAsia="Calibri" w:hAnsi="Calibri" w:cs="Calibri"/>
        </w:rPr>
        <w:t>ges are only eligible for certification if they do not use fossil fuel in their operation (e.g. they use batteries, hydrogen or other fuels), and so do not need to be monitored for their compliance with a decarbonisation trajectory.</w:t>
      </w:r>
    </w:p>
    <w:p w14:paraId="00000149" w14:textId="77777777" w:rsidR="001E40A1" w:rsidRDefault="001E40A1">
      <w:pPr>
        <w:jc w:val="both"/>
        <w:rPr>
          <w:rFonts w:ascii="Calibri" w:eastAsia="Calibri" w:hAnsi="Calibri" w:cs="Calibri"/>
        </w:rPr>
      </w:pPr>
    </w:p>
    <w:p w14:paraId="0000014A" w14:textId="77777777" w:rsidR="001E40A1" w:rsidRDefault="007A0446">
      <w:pPr>
        <w:jc w:val="both"/>
        <w:rPr>
          <w:rFonts w:ascii="Calibri" w:eastAsia="Calibri" w:hAnsi="Calibri" w:cs="Calibri"/>
        </w:rPr>
      </w:pPr>
      <w:sdt>
        <w:sdtPr>
          <w:tag w:val="goog_rdk_0"/>
          <w:id w:val="-391277255"/>
        </w:sdtPr>
        <w:sdtEndPr/>
        <w:sdtContent/>
      </w:sdt>
      <w:r>
        <w:rPr>
          <w:rFonts w:ascii="Calibri" w:eastAsia="Calibri" w:hAnsi="Calibri" w:cs="Calibri"/>
        </w:rPr>
        <w:t>Furthermore, as is consistent with the CBI Standard and Certification Scheme’s other sector criteria, assets which are dedicated to supporting the fossil fuel sector are not within scope. This includes dedicated fossil fuel carriers and platforms associate</w:t>
      </w:r>
      <w:r>
        <w:rPr>
          <w:rFonts w:ascii="Calibri" w:eastAsia="Calibri" w:hAnsi="Calibri" w:cs="Calibri"/>
        </w:rPr>
        <w:t>d with the extraction of fossil fuels, such as LNG carriers and Crude Carriers. Following the public consultation, this exclusion has also been extended to dry bulk carriers that are transporting fossil fuel. Globally, approximately 1.21 billion metric ton</w:t>
      </w:r>
      <w:r>
        <w:rPr>
          <w:rFonts w:ascii="Calibri" w:eastAsia="Calibri" w:hAnsi="Calibri" w:cs="Calibri"/>
        </w:rPr>
        <w:t>s of coal is transported annually, this constitutes approximately 25% of global bulk cargo. We recognise that left unchecked, there is a significant risk that a Certified green bond would be used to finance a dry bulk carrier that is used to transport coal</w:t>
      </w:r>
      <w:r>
        <w:rPr>
          <w:rFonts w:ascii="Calibri" w:eastAsia="Calibri" w:hAnsi="Calibri" w:cs="Calibri"/>
        </w:rPr>
        <w:t xml:space="preserve">. Thus issuers who include dry bulk vessels within their green bond frameworks are required to show that the vessel(s), are not primarily transporting fossil fuels during the life of the bond. </w:t>
      </w:r>
    </w:p>
    <w:p w14:paraId="0000014B" w14:textId="77777777" w:rsidR="001E40A1" w:rsidRDefault="001E40A1">
      <w:pPr>
        <w:jc w:val="both"/>
        <w:rPr>
          <w:rFonts w:ascii="Calibri" w:eastAsia="Calibri" w:hAnsi="Calibri" w:cs="Calibri"/>
        </w:rPr>
      </w:pPr>
    </w:p>
    <w:p w14:paraId="0000014C" w14:textId="77777777" w:rsidR="001E40A1" w:rsidRDefault="007A0446">
      <w:pPr>
        <w:jc w:val="both"/>
        <w:rPr>
          <w:rFonts w:ascii="Calibri" w:eastAsia="Calibri" w:hAnsi="Calibri" w:cs="Calibri"/>
        </w:rPr>
      </w:pPr>
      <w:r>
        <w:rPr>
          <w:rFonts w:ascii="Calibri" w:eastAsia="Calibri" w:hAnsi="Calibri" w:cs="Calibri"/>
        </w:rPr>
        <w:lastRenderedPageBreak/>
        <w:t>This means that for bonds where proceeds will be used for dry</w:t>
      </w:r>
      <w:r>
        <w:rPr>
          <w:rFonts w:ascii="Calibri" w:eastAsia="Calibri" w:hAnsi="Calibri" w:cs="Calibri"/>
        </w:rPr>
        <w:t xml:space="preserve"> bulk carriers, issuers must show that (a) coal did not constitute more than 25% of dry bulk by tons carried by the firm over the previous 3 years, based on the bills of lading, and (b) the volume of coal transported by the vessel does not exceed the decli</w:t>
      </w:r>
      <w:r>
        <w:rPr>
          <w:rFonts w:ascii="Calibri" w:eastAsia="Calibri" w:hAnsi="Calibri" w:cs="Calibri"/>
        </w:rPr>
        <w:t>ning threshold for allowable coal carried. This threshold follows a geometric decay model starting at 25% in 2020, decreasing at 5.3% per year as consistent with the International Energy Agency’s (IEA) Sustainable Development Scenario (SDS), and is based o</w:t>
      </w:r>
      <w:r>
        <w:rPr>
          <w:rFonts w:ascii="Calibri" w:eastAsia="Calibri" w:hAnsi="Calibri" w:cs="Calibri"/>
        </w:rPr>
        <w:t>n the bills of lading.</w:t>
      </w:r>
      <w:r>
        <w:rPr>
          <w:rFonts w:ascii="Calibri" w:eastAsia="Calibri" w:hAnsi="Calibri" w:cs="Calibri"/>
        </w:rPr>
        <w:t xml:space="preserve"> </w:t>
      </w:r>
    </w:p>
    <w:p w14:paraId="0000014D" w14:textId="77777777" w:rsidR="001E40A1" w:rsidRDefault="001E40A1">
      <w:pPr>
        <w:jc w:val="both"/>
        <w:rPr>
          <w:rFonts w:ascii="Calibri" w:eastAsia="Calibri" w:hAnsi="Calibri" w:cs="Calibri"/>
        </w:rPr>
      </w:pPr>
    </w:p>
    <w:p w14:paraId="0000014E" w14:textId="77777777" w:rsidR="001E40A1" w:rsidRDefault="007A0446">
      <w:pPr>
        <w:jc w:val="both"/>
        <w:rPr>
          <w:rFonts w:ascii="Calibri" w:eastAsia="Calibri" w:hAnsi="Calibri" w:cs="Calibri"/>
        </w:rPr>
      </w:pPr>
      <w:r>
        <w:rPr>
          <w:rFonts w:ascii="Calibri" w:eastAsia="Calibri" w:hAnsi="Calibri" w:cs="Calibri"/>
        </w:rPr>
        <w:t>These criteria use 25% of tons loaded as the starting point for the threshold in 2020 because it reflects coal’s absolute proportion of tons of cargo moved, and so any firms that are ship proportionally more coal than the overal</w:t>
      </w:r>
      <w:r>
        <w:rPr>
          <w:rFonts w:ascii="Calibri" w:eastAsia="Calibri" w:hAnsi="Calibri" w:cs="Calibri"/>
        </w:rPr>
        <w:t xml:space="preserve">l industry average are logically, harming climate change mitigation efforts. This upper limit is tightened at a pace concomitant with the IEA SDS, which requires that coal-fired generation without CCUS decrease 5.3% per year to 2030. </w:t>
      </w:r>
    </w:p>
    <w:p w14:paraId="0000014F" w14:textId="77777777" w:rsidR="001E40A1" w:rsidRDefault="007A0446">
      <w:pPr>
        <w:jc w:val="both"/>
        <w:rPr>
          <w:rFonts w:ascii="Calibri" w:eastAsia="Calibri" w:hAnsi="Calibri" w:cs="Calibri"/>
        </w:rPr>
      </w:pPr>
      <w:r>
        <w:rPr>
          <w:rFonts w:ascii="Calibri" w:eastAsia="Calibri" w:hAnsi="Calibri" w:cs="Calibri"/>
        </w:rPr>
        <w:br/>
      </w:r>
      <w:r>
        <w:rPr>
          <w:rFonts w:ascii="Calibri" w:eastAsia="Calibri" w:hAnsi="Calibri" w:cs="Calibri"/>
        </w:rPr>
        <w:t>These criteria also recognize the importance of decarbonizing the luxury travel industry in particular, cruise liners. The TWG/IWG have not taken a view on whether cruise ships should categorically be excluded from the criteria, and the criteria will apply</w:t>
      </w:r>
      <w:r>
        <w:rPr>
          <w:rFonts w:ascii="Calibri" w:eastAsia="Calibri" w:hAnsi="Calibri" w:cs="Calibri"/>
        </w:rPr>
        <w:t xml:space="preserve"> to these assets, but this may be change when the Shipping criteria are reviewed. Certifications awarded against such assets before a decision is made will not be revoked retroactively. </w:t>
      </w:r>
    </w:p>
    <w:p w14:paraId="00000150" w14:textId="77777777" w:rsidR="001E40A1" w:rsidRDefault="001E40A1">
      <w:pPr>
        <w:rPr>
          <w:rFonts w:ascii="Calibri" w:eastAsia="Calibri" w:hAnsi="Calibri" w:cs="Calibri"/>
        </w:rPr>
      </w:pPr>
    </w:p>
    <w:p w14:paraId="00000151" w14:textId="77777777" w:rsidR="001E40A1" w:rsidRDefault="007A0446">
      <w:pPr>
        <w:jc w:val="both"/>
        <w:rPr>
          <w:rFonts w:ascii="Calibri" w:eastAsia="Calibri" w:hAnsi="Calibri" w:cs="Calibri"/>
        </w:rPr>
      </w:pPr>
      <w:r>
        <w:rPr>
          <w:rFonts w:ascii="Calibri" w:eastAsia="Calibri" w:hAnsi="Calibri" w:cs="Calibri"/>
        </w:rPr>
        <w:t>These criteria also recognize the importance of certain shipping sec</w:t>
      </w:r>
      <w:r>
        <w:rPr>
          <w:rFonts w:ascii="Calibri" w:eastAsia="Calibri" w:hAnsi="Calibri" w:cs="Calibri"/>
        </w:rPr>
        <w:t>tor-related assets which will not be covered by the EEOI or AER data regimes but can still provide a significant contribution to decarbonization of the shipping sector as a whole. In particular, refueling infrastructure that is dedicated to the delivery of</w:t>
      </w:r>
      <w:r>
        <w:rPr>
          <w:rFonts w:ascii="Calibri" w:eastAsia="Calibri" w:hAnsi="Calibri" w:cs="Calibri"/>
        </w:rPr>
        <w:t xml:space="preserve"> electricity and eligible types of fuel are also within the scope of these criteria. </w:t>
      </w:r>
    </w:p>
    <w:p w14:paraId="00000152" w14:textId="77777777" w:rsidR="001E40A1" w:rsidRDefault="001E40A1">
      <w:pPr>
        <w:jc w:val="both"/>
        <w:rPr>
          <w:rFonts w:ascii="Calibri" w:eastAsia="Calibri" w:hAnsi="Calibri" w:cs="Calibri"/>
        </w:rPr>
      </w:pPr>
    </w:p>
    <w:p w14:paraId="00000153" w14:textId="77777777" w:rsidR="001E40A1" w:rsidRDefault="007A0446">
      <w:pPr>
        <w:jc w:val="both"/>
        <w:rPr>
          <w:rFonts w:ascii="Calibri" w:eastAsia="Calibri" w:hAnsi="Calibri" w:cs="Calibri"/>
        </w:rPr>
      </w:pPr>
      <w:r>
        <w:rPr>
          <w:rFonts w:ascii="Calibri" w:eastAsia="Calibri" w:hAnsi="Calibri" w:cs="Calibri"/>
        </w:rPr>
        <w:t>Recognizing that there are assets which can contribute significantly to enabling the decarbonization of the economy, specifically Wind Turbine Installation Vessels (WTIV</w:t>
      </w:r>
      <w:r>
        <w:rPr>
          <w:rFonts w:ascii="Calibri" w:eastAsia="Calibri" w:hAnsi="Calibri" w:cs="Calibri"/>
        </w:rPr>
        <w:t>s) and Jack-up Rigs which are dedicated to the installation and maintenance of offshore electricity production technology.</w:t>
      </w:r>
      <w:r>
        <w:rPr>
          <w:rFonts w:ascii="Helvetica Neue" w:eastAsia="Helvetica Neue" w:hAnsi="Helvetica Neue" w:cs="Helvetica Neue"/>
          <w:color w:val="000000"/>
          <w:sz w:val="18"/>
          <w:szCs w:val="18"/>
          <w:vertAlign w:val="superscript"/>
        </w:rPr>
        <w:footnoteReference w:id="29"/>
      </w:r>
      <w:r>
        <w:rPr>
          <w:rFonts w:ascii="Calibri" w:eastAsia="Calibri" w:hAnsi="Calibri" w:cs="Calibri"/>
        </w:rPr>
        <w:t xml:space="preserve"> Given that these assets are critical to ‘enabling’ an activity (production of offshore wind energy) that fully provides a substanti</w:t>
      </w:r>
      <w:r>
        <w:rPr>
          <w:rFonts w:ascii="Calibri" w:eastAsia="Calibri" w:hAnsi="Calibri" w:cs="Calibri"/>
        </w:rPr>
        <w:t>al contribution to fulfilling the Paris Agreement, it was determined that such assets should be considered as ‘within scope’ of the offshore renewable energy criteria. More information about this is available in the marine renewable energy criteria documen</w:t>
      </w:r>
      <w:r>
        <w:rPr>
          <w:rFonts w:ascii="Calibri" w:eastAsia="Calibri" w:hAnsi="Calibri" w:cs="Calibri"/>
        </w:rPr>
        <w:t>tation on CBI’s website.</w:t>
      </w:r>
      <w:r>
        <w:rPr>
          <w:rFonts w:ascii="Helvetica Neue" w:eastAsia="Helvetica Neue" w:hAnsi="Helvetica Neue" w:cs="Helvetica Neue"/>
          <w:color w:val="000000"/>
          <w:sz w:val="18"/>
          <w:szCs w:val="18"/>
          <w:vertAlign w:val="superscript"/>
        </w:rPr>
        <w:footnoteReference w:id="30"/>
      </w:r>
      <w:r>
        <w:rPr>
          <w:rFonts w:ascii="Calibri" w:eastAsia="Calibri" w:hAnsi="Calibri" w:cs="Calibri"/>
        </w:rPr>
        <w:t xml:space="preserve"> </w:t>
      </w:r>
    </w:p>
    <w:p w14:paraId="00000154" w14:textId="77777777" w:rsidR="001E40A1" w:rsidRDefault="001E40A1">
      <w:pPr>
        <w:rPr>
          <w:rFonts w:ascii="Calibri" w:eastAsia="Calibri" w:hAnsi="Calibri" w:cs="Calibri"/>
        </w:rPr>
      </w:pPr>
    </w:p>
    <w:p w14:paraId="00000155" w14:textId="77777777" w:rsidR="001E40A1" w:rsidRDefault="007A0446">
      <w:pPr>
        <w:pStyle w:val="Heading2"/>
        <w:numPr>
          <w:ilvl w:val="1"/>
          <w:numId w:val="2"/>
        </w:numPr>
        <w:rPr>
          <w:rFonts w:ascii="Calibri" w:eastAsia="Calibri" w:hAnsi="Calibri" w:cs="Calibri"/>
          <w:sz w:val="20"/>
          <w:szCs w:val="20"/>
        </w:rPr>
      </w:pPr>
      <w:bookmarkStart w:id="22" w:name="_heading=h.2xcytpi" w:colFirst="0" w:colLast="0"/>
      <w:bookmarkEnd w:id="22"/>
      <w:r>
        <w:rPr>
          <w:rFonts w:ascii="Calibri" w:eastAsia="Calibri" w:hAnsi="Calibri" w:cs="Calibri"/>
          <w:sz w:val="20"/>
          <w:szCs w:val="20"/>
        </w:rPr>
        <w:t>Examples of Use of Proceeds</w:t>
      </w:r>
    </w:p>
    <w:p w14:paraId="00000156" w14:textId="77777777" w:rsidR="001E40A1" w:rsidRDefault="001E40A1">
      <w:pPr>
        <w:rPr>
          <w:rFonts w:ascii="Calibri" w:eastAsia="Calibri" w:hAnsi="Calibri" w:cs="Calibri"/>
        </w:rPr>
      </w:pPr>
    </w:p>
    <w:p w14:paraId="00000157" w14:textId="77777777" w:rsidR="001E40A1" w:rsidRDefault="007A0446">
      <w:pPr>
        <w:jc w:val="both"/>
        <w:rPr>
          <w:rFonts w:ascii="Calibri" w:eastAsia="Calibri" w:hAnsi="Calibri" w:cs="Calibri"/>
        </w:rPr>
      </w:pPr>
      <w:r>
        <w:rPr>
          <w:rFonts w:ascii="Calibri" w:eastAsia="Calibri" w:hAnsi="Calibri" w:cs="Calibri"/>
        </w:rPr>
        <w:t>Table 3 provides an overview of the key assets and technologies which could be considered for evaluation. This is not a prescriptive list - CBI’s criteria are technology neutral. Rather, it is inten</w:t>
      </w:r>
      <w:r>
        <w:rPr>
          <w:rFonts w:ascii="Calibri" w:eastAsia="Calibri" w:hAnsi="Calibri" w:cs="Calibri"/>
        </w:rPr>
        <w:t>ded to provide the reader with examples of technological investments that can be made to bring a ship within the threshold that was developed over the course of the TWG and IWG discussions.</w:t>
      </w:r>
    </w:p>
    <w:p w14:paraId="00000158" w14:textId="77777777" w:rsidR="001E40A1" w:rsidRDefault="001E40A1">
      <w:pPr>
        <w:rPr>
          <w:rFonts w:ascii="Calibri" w:eastAsia="Calibri" w:hAnsi="Calibri" w:cs="Calibri"/>
        </w:rPr>
      </w:pPr>
    </w:p>
    <w:p w14:paraId="00000159" w14:textId="77777777" w:rsidR="001E40A1" w:rsidRDefault="007A0446">
      <w:pPr>
        <w:keepNext/>
        <w:pBdr>
          <w:top w:val="nil"/>
          <w:left w:val="nil"/>
          <w:bottom w:val="nil"/>
          <w:right w:val="nil"/>
          <w:between w:val="nil"/>
        </w:pBdr>
        <w:spacing w:after="200"/>
        <w:rPr>
          <w:rFonts w:ascii="Calibri" w:eastAsia="Calibri" w:hAnsi="Calibri" w:cs="Calibri"/>
          <w:b/>
          <w:color w:val="000000"/>
        </w:rPr>
      </w:pPr>
      <w:bookmarkStart w:id="23" w:name="_heading=h.1ci93xb" w:colFirst="0" w:colLast="0"/>
      <w:bookmarkEnd w:id="23"/>
      <w:r>
        <w:rPr>
          <w:rFonts w:ascii="Calibri" w:eastAsia="Calibri" w:hAnsi="Calibri" w:cs="Calibri"/>
          <w:b/>
          <w:color w:val="000000"/>
        </w:rPr>
        <w:t xml:space="preserve">Table 3: Overview of key assets and technologies in the shipping </w:t>
      </w:r>
      <w:r>
        <w:rPr>
          <w:rFonts w:ascii="Calibri" w:eastAsia="Calibri" w:hAnsi="Calibri" w:cs="Calibri"/>
          <w:b/>
          <w:color w:val="000000"/>
        </w:rPr>
        <w:t>sector</w:t>
      </w:r>
    </w:p>
    <w:tbl>
      <w:tblPr>
        <w:tblStyle w:val="a0"/>
        <w:tblW w:w="1020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51"/>
        <w:gridCol w:w="1276"/>
        <w:gridCol w:w="8079"/>
      </w:tblGrid>
      <w:tr w:rsidR="001E40A1" w14:paraId="00FDAC5C" w14:textId="77777777" w:rsidTr="001E40A1">
        <w:trPr>
          <w:cnfStyle w:val="100000000000" w:firstRow="1" w:lastRow="0" w:firstColumn="0" w:lastColumn="0" w:oddVBand="0" w:evenVBand="0" w:oddHBand="0" w:evenHBand="0" w:firstRowFirstColumn="0" w:firstRowLastColumn="0" w:lastRowFirstColumn="0" w:lastRowLastColumn="0"/>
          <w:trHeight w:val="250"/>
        </w:trPr>
        <w:tc>
          <w:tcPr>
            <w:cnfStyle w:val="001000000100" w:firstRow="0" w:lastRow="0" w:firstColumn="1" w:lastColumn="0" w:oddVBand="0" w:evenVBand="0" w:oddHBand="0" w:evenHBand="0" w:firstRowFirstColumn="1" w:firstRowLastColumn="0" w:lastRowFirstColumn="0" w:lastRowLastColumn="0"/>
            <w:tcW w:w="851" w:type="dxa"/>
          </w:tcPr>
          <w:p w14:paraId="0000015A" w14:textId="77777777" w:rsidR="001E40A1" w:rsidRDefault="007A0446">
            <w:pPr>
              <w:rPr>
                <w:rFonts w:ascii="Calibri" w:eastAsia="Calibri" w:hAnsi="Calibri" w:cs="Calibri"/>
                <w:color w:val="000000"/>
              </w:rPr>
            </w:pPr>
            <w:r>
              <w:rPr>
                <w:rFonts w:ascii="Calibri" w:eastAsia="Calibri" w:hAnsi="Calibri" w:cs="Calibri"/>
                <w:i w:val="0"/>
                <w:color w:val="000000"/>
              </w:rPr>
              <w:t>Asset type</w:t>
            </w:r>
          </w:p>
        </w:tc>
        <w:tc>
          <w:tcPr>
            <w:tcW w:w="1276" w:type="dxa"/>
          </w:tcPr>
          <w:p w14:paraId="0000015B" w14:textId="77777777" w:rsidR="001E40A1" w:rsidRDefault="007A044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i w:val="0"/>
                <w:color w:val="000000"/>
              </w:rPr>
              <w:t xml:space="preserve">Assets </w:t>
            </w:r>
          </w:p>
        </w:tc>
        <w:tc>
          <w:tcPr>
            <w:tcW w:w="8079" w:type="dxa"/>
          </w:tcPr>
          <w:p w14:paraId="0000015C" w14:textId="77777777" w:rsidR="001E40A1" w:rsidRDefault="007A044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i w:val="0"/>
                <w:color w:val="000000"/>
              </w:rPr>
              <w:t xml:space="preserve">Description </w:t>
            </w:r>
          </w:p>
        </w:tc>
      </w:tr>
      <w:tr w:rsidR="001E40A1" w14:paraId="1EC9FFF1" w14:textId="77777777" w:rsidTr="001E40A1">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851" w:type="dxa"/>
          </w:tcPr>
          <w:p w14:paraId="0000015D" w14:textId="77777777" w:rsidR="001E40A1" w:rsidRDefault="007A0446">
            <w:pPr>
              <w:rPr>
                <w:rFonts w:ascii="Calibri" w:eastAsia="Calibri" w:hAnsi="Calibri" w:cs="Calibri"/>
                <w:color w:val="000000"/>
              </w:rPr>
            </w:pPr>
            <w:r>
              <w:rPr>
                <w:rFonts w:ascii="Calibri" w:eastAsia="Calibri" w:hAnsi="Calibri" w:cs="Calibri"/>
                <w:i w:val="0"/>
                <w:color w:val="000000"/>
              </w:rPr>
              <w:t>Ships</w:t>
            </w:r>
          </w:p>
        </w:tc>
        <w:tc>
          <w:tcPr>
            <w:tcW w:w="1276" w:type="dxa"/>
          </w:tcPr>
          <w:p w14:paraId="0000015E"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Ships which include technologies that increase a ship’s energy efficiency and/or </w:t>
            </w:r>
            <w:r>
              <w:rPr>
                <w:rFonts w:ascii="Calibri" w:eastAsia="Calibri" w:hAnsi="Calibri" w:cs="Calibri"/>
                <w:color w:val="000000"/>
              </w:rPr>
              <w:lastRenderedPageBreak/>
              <w:t xml:space="preserve">reduce GHG emissions </w:t>
            </w:r>
          </w:p>
        </w:tc>
        <w:tc>
          <w:tcPr>
            <w:tcW w:w="8079" w:type="dxa"/>
          </w:tcPr>
          <w:p w14:paraId="0000015F"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lastRenderedPageBreak/>
              <w:t>To include ships featuring one or more of the following technologies:</w:t>
            </w:r>
          </w:p>
          <w:p w14:paraId="00000160" w14:textId="77777777" w:rsidR="001E40A1" w:rsidRDefault="007A0446">
            <w:pPr>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Main machinery improvements: e.g. engine derating, hybridisation, waste-heat recovery</w:t>
            </w:r>
          </w:p>
          <w:p w14:paraId="00000161" w14:textId="77777777" w:rsidR="001E40A1" w:rsidRDefault="007A0446">
            <w:pPr>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Hull improvements: e.g. air lubrications, coatings, bulbous bow</w:t>
            </w:r>
          </w:p>
          <w:p w14:paraId="00000162" w14:textId="77777777" w:rsidR="001E40A1" w:rsidRDefault="007A0446">
            <w:pPr>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Propulsion improvements: e.g. ducts,</w:t>
            </w:r>
            <w:r>
              <w:rPr>
                <w:rFonts w:ascii="Calibri" w:eastAsia="Calibri" w:hAnsi="Calibri" w:cs="Calibri"/>
                <w:color w:val="000000"/>
              </w:rPr>
              <w:t xml:space="preserve"> vane wheels, pods, advanced propellers</w:t>
            </w:r>
          </w:p>
          <w:p w14:paraId="00000163" w14:textId="77777777" w:rsidR="001E40A1" w:rsidRDefault="007A0446">
            <w:pPr>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Auxiliary machinery efficiency improvements: e.g. cargo handling equipment, lighting, pumps and fans</w:t>
            </w:r>
          </w:p>
          <w:p w14:paraId="00000164" w14:textId="77777777" w:rsidR="001E40A1" w:rsidRDefault="007A0446">
            <w:pPr>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Fuel or cargo storage improvements e.g. to reduce GHG emissions from fuel or cargo</w:t>
            </w:r>
          </w:p>
        </w:tc>
      </w:tr>
      <w:tr w:rsidR="001E40A1" w14:paraId="466C9512" w14:textId="77777777" w:rsidTr="001E40A1">
        <w:trPr>
          <w:trHeight w:val="567"/>
        </w:trPr>
        <w:tc>
          <w:tcPr>
            <w:cnfStyle w:val="001000000000" w:firstRow="0" w:lastRow="0" w:firstColumn="1" w:lastColumn="0" w:oddVBand="0" w:evenVBand="0" w:oddHBand="0" w:evenHBand="0" w:firstRowFirstColumn="0" w:firstRowLastColumn="0" w:lastRowFirstColumn="0" w:lastRowLastColumn="0"/>
            <w:tcW w:w="851" w:type="dxa"/>
          </w:tcPr>
          <w:p w14:paraId="00000165" w14:textId="77777777" w:rsidR="001E40A1" w:rsidRDefault="001E40A1">
            <w:pPr>
              <w:rPr>
                <w:rFonts w:ascii="Calibri" w:eastAsia="Calibri" w:hAnsi="Calibri" w:cs="Calibri"/>
                <w:color w:val="000000"/>
              </w:rPr>
            </w:pPr>
          </w:p>
        </w:tc>
        <w:tc>
          <w:tcPr>
            <w:tcW w:w="1276" w:type="dxa"/>
          </w:tcPr>
          <w:p w14:paraId="00000166"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Ships that use technologies that enable a switch from the use of fossil fuel, or the capturing of exhaust emissions </w:t>
            </w:r>
          </w:p>
        </w:tc>
        <w:tc>
          <w:tcPr>
            <w:tcW w:w="8079" w:type="dxa"/>
          </w:tcPr>
          <w:p w14:paraId="00000167"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To include ships featuring one or more of the following technologies:</w:t>
            </w:r>
          </w:p>
          <w:p w14:paraId="00000168" w14:textId="77777777" w:rsidR="001E40A1" w:rsidRDefault="007A0446">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Main aux. machinery and boilers for use with alternative (non-fossil)</w:t>
            </w:r>
            <w:r>
              <w:rPr>
                <w:rFonts w:ascii="Calibri" w:eastAsia="Calibri" w:hAnsi="Calibri" w:cs="Calibri"/>
                <w:color w:val="000000"/>
              </w:rPr>
              <w:t xml:space="preserve"> fuels e.g. machinery (internal combustion or fuel cell) for use with non-fossil fuel </w:t>
            </w:r>
          </w:p>
          <w:p w14:paraId="00000169" w14:textId="77777777" w:rsidR="001E40A1" w:rsidRDefault="007A0446">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Fuel storage and handling e.g. non-fossil fuel storage and handling equipment</w:t>
            </w:r>
          </w:p>
          <w:p w14:paraId="0000016A" w14:textId="77777777" w:rsidR="001E40A1" w:rsidRDefault="007A0446">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Electrification for use in conjunction with a source of low carbon electricity e.g. propuls</w:t>
            </w:r>
            <w:r>
              <w:rPr>
                <w:rFonts w:ascii="Calibri" w:eastAsia="Calibri" w:hAnsi="Calibri" w:cs="Calibri"/>
                <w:color w:val="000000"/>
              </w:rPr>
              <w:t xml:space="preserve">ion electrification, auxiliary electrification, shore power adaptation, batteries </w:t>
            </w:r>
          </w:p>
          <w:p w14:paraId="0000016B" w14:textId="77777777" w:rsidR="001E40A1" w:rsidRDefault="007A0446">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Onboard renewable energy e.g. wind assistance technologies, solar power, shaft regeneration</w:t>
            </w:r>
          </w:p>
          <w:p w14:paraId="0000016C" w14:textId="77777777" w:rsidR="001E40A1" w:rsidRDefault="007A0446">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Ships which feature technologies to capture and store GHG exhaust emissions on bo</w:t>
            </w:r>
            <w:r>
              <w:rPr>
                <w:rFonts w:ascii="Calibri" w:eastAsia="Calibri" w:hAnsi="Calibri" w:cs="Calibri"/>
                <w:color w:val="000000"/>
              </w:rPr>
              <w:t>ard</w:t>
            </w:r>
          </w:p>
        </w:tc>
      </w:tr>
      <w:tr w:rsidR="001E40A1" w14:paraId="4E9FB4AF" w14:textId="77777777" w:rsidTr="001E40A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851" w:type="dxa"/>
          </w:tcPr>
          <w:p w14:paraId="0000016D" w14:textId="77777777" w:rsidR="001E40A1" w:rsidRDefault="007A0446">
            <w:pPr>
              <w:rPr>
                <w:rFonts w:ascii="Calibri" w:eastAsia="Calibri" w:hAnsi="Calibri" w:cs="Calibri"/>
                <w:color w:val="000000"/>
              </w:rPr>
            </w:pPr>
            <w:r>
              <w:rPr>
                <w:rFonts w:ascii="Calibri" w:eastAsia="Calibri" w:hAnsi="Calibri" w:cs="Calibri"/>
                <w:i w:val="0"/>
                <w:color w:val="000000"/>
              </w:rPr>
              <w:t>Infrastructure</w:t>
            </w:r>
          </w:p>
        </w:tc>
        <w:tc>
          <w:tcPr>
            <w:tcW w:w="1276" w:type="dxa"/>
          </w:tcPr>
          <w:p w14:paraId="0000016E"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Infrastructure that enables the supply of non-fossil fuel/energy to a ship, or the transfer and transport of captured emissions from a ship</w:t>
            </w:r>
          </w:p>
        </w:tc>
        <w:tc>
          <w:tcPr>
            <w:tcW w:w="8079" w:type="dxa"/>
          </w:tcPr>
          <w:p w14:paraId="0000016F" w14:textId="77777777" w:rsidR="001E40A1" w:rsidRDefault="007A044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To include infrastructure which enables one or more of:</w:t>
            </w:r>
          </w:p>
          <w:p w14:paraId="00000170" w14:textId="77777777" w:rsidR="001E40A1" w:rsidRDefault="007A0446">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Supply of non-fossil fuel/energy in the </w:t>
            </w:r>
            <w:r>
              <w:rPr>
                <w:rFonts w:ascii="Calibri" w:eastAsia="Calibri" w:hAnsi="Calibri" w:cs="Calibri"/>
                <w:color w:val="000000"/>
              </w:rPr>
              <w:t>port (e.g. local battery storage, grid connection, fuel production technologies, fuel storage facilities), in conjunction with a source of low carbon energy</w:t>
            </w:r>
          </w:p>
          <w:p w14:paraId="00000171" w14:textId="77777777" w:rsidR="001E40A1" w:rsidRDefault="007A0446">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Supply of non-fossil fuel/energy from the shore to the ship (e.g. shore power connection infrastruc</w:t>
            </w:r>
            <w:r>
              <w:rPr>
                <w:rFonts w:ascii="Calibri" w:eastAsia="Calibri" w:hAnsi="Calibri" w:cs="Calibri"/>
                <w:color w:val="000000"/>
              </w:rPr>
              <w:t>ture, bunkering infrastructure including bunker barges), in conjunction with a source of low carbon energy</w:t>
            </w:r>
          </w:p>
          <w:p w14:paraId="00000172" w14:textId="77777777" w:rsidR="001E40A1" w:rsidRDefault="007A0446">
            <w:pPr>
              <w:numPr>
                <w:ilvl w:val="0"/>
                <w:numId w:val="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Infrastructure to transfer and transport captured emissions from the ship for onwards sequestration</w:t>
            </w:r>
          </w:p>
          <w:p w14:paraId="00000173" w14:textId="77777777" w:rsidR="001E40A1" w:rsidRDefault="001E40A1">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1E40A1" w14:paraId="5FE37756" w14:textId="77777777" w:rsidTr="001E40A1">
        <w:trPr>
          <w:trHeight w:val="1235"/>
        </w:trPr>
        <w:tc>
          <w:tcPr>
            <w:cnfStyle w:val="001000000000" w:firstRow="0" w:lastRow="0" w:firstColumn="1" w:lastColumn="0" w:oddVBand="0" w:evenVBand="0" w:oddHBand="0" w:evenHBand="0" w:firstRowFirstColumn="0" w:firstRowLastColumn="0" w:lastRowFirstColumn="0" w:lastRowLastColumn="0"/>
            <w:tcW w:w="851" w:type="dxa"/>
          </w:tcPr>
          <w:p w14:paraId="00000174" w14:textId="77777777" w:rsidR="001E40A1" w:rsidRDefault="007A0446">
            <w:pPr>
              <w:rPr>
                <w:rFonts w:ascii="Calibri" w:eastAsia="Calibri" w:hAnsi="Calibri" w:cs="Calibri"/>
                <w:color w:val="000000"/>
              </w:rPr>
            </w:pPr>
            <w:r>
              <w:rPr>
                <w:rFonts w:ascii="Calibri" w:eastAsia="Calibri" w:hAnsi="Calibri" w:cs="Calibri"/>
                <w:i w:val="0"/>
                <w:color w:val="000000"/>
              </w:rPr>
              <w:t>Programmes</w:t>
            </w:r>
          </w:p>
        </w:tc>
        <w:tc>
          <w:tcPr>
            <w:tcW w:w="1276" w:type="dxa"/>
            <w:shd w:val="clear" w:color="auto" w:fill="auto"/>
          </w:tcPr>
          <w:p w14:paraId="00000175"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Programmes that enable reductions in carbon-equivalent intensity for an existing ship or fleet of ships</w:t>
            </w:r>
          </w:p>
        </w:tc>
        <w:tc>
          <w:tcPr>
            <w:tcW w:w="8079" w:type="dxa"/>
            <w:shd w:val="clear" w:color="auto" w:fill="auto"/>
          </w:tcPr>
          <w:p w14:paraId="00000176" w14:textId="77777777" w:rsidR="001E40A1" w:rsidRDefault="007A044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To include:</w:t>
            </w:r>
          </w:p>
          <w:p w14:paraId="00000177" w14:textId="77777777" w:rsidR="001E40A1" w:rsidRDefault="007A0446">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Retrofit programmes that reduce the carbon-equivalent intensity of an existing ship or fleet of existing ships, either through significant e</w:t>
            </w:r>
            <w:r>
              <w:rPr>
                <w:rFonts w:ascii="Calibri" w:eastAsia="Calibri" w:hAnsi="Calibri" w:cs="Calibri"/>
                <w:color w:val="000000"/>
              </w:rPr>
              <w:t>fficiency improvement or through enabling a switch from the use of fossil fuel</w:t>
            </w:r>
          </w:p>
          <w:p w14:paraId="00000178" w14:textId="77777777" w:rsidR="001E40A1" w:rsidRDefault="007A0446">
            <w:pPr>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 xml:space="preserve">Programmes to enable an operational or behaviour change that can increase energy efficiency e.g. fleet or port-based initiatives such as speed management, just in time arrival, </w:t>
            </w:r>
            <w:r>
              <w:rPr>
                <w:rFonts w:ascii="Calibri" w:eastAsia="Calibri" w:hAnsi="Calibri" w:cs="Calibri"/>
                <w:color w:val="000000"/>
              </w:rPr>
              <w:t>energy use optimisation, reefer container upgrading</w:t>
            </w:r>
          </w:p>
        </w:tc>
      </w:tr>
    </w:tbl>
    <w:p w14:paraId="00000179" w14:textId="77777777" w:rsidR="001E40A1" w:rsidRDefault="001E40A1">
      <w:pPr>
        <w:rPr>
          <w:rFonts w:ascii="Calibri" w:eastAsia="Calibri" w:hAnsi="Calibri" w:cs="Calibri"/>
        </w:rPr>
      </w:pPr>
      <w:bookmarkStart w:id="24" w:name="_heading=h.3whwml4" w:colFirst="0" w:colLast="0"/>
      <w:bookmarkEnd w:id="24"/>
    </w:p>
    <w:p w14:paraId="0000017A" w14:textId="77777777" w:rsidR="001E40A1" w:rsidRDefault="007A0446">
      <w:pPr>
        <w:pStyle w:val="Heading2"/>
        <w:numPr>
          <w:ilvl w:val="1"/>
          <w:numId w:val="2"/>
        </w:numPr>
        <w:rPr>
          <w:rFonts w:ascii="Calibri" w:eastAsia="Calibri" w:hAnsi="Calibri" w:cs="Calibri"/>
          <w:sz w:val="20"/>
          <w:szCs w:val="20"/>
        </w:rPr>
      </w:pPr>
      <w:bookmarkStart w:id="25" w:name="_heading=h.2bn6wsx" w:colFirst="0" w:colLast="0"/>
      <w:bookmarkEnd w:id="25"/>
      <w:r>
        <w:rPr>
          <w:rFonts w:ascii="Calibri" w:eastAsia="Calibri" w:hAnsi="Calibri" w:cs="Calibri"/>
          <w:sz w:val="20"/>
          <w:szCs w:val="20"/>
        </w:rPr>
        <w:t xml:space="preserve">Emissions out of Scope </w:t>
      </w:r>
    </w:p>
    <w:p w14:paraId="0000017B" w14:textId="77777777" w:rsidR="001E40A1" w:rsidRDefault="001E40A1">
      <w:pPr>
        <w:rPr>
          <w:rFonts w:ascii="Calibri" w:eastAsia="Calibri" w:hAnsi="Calibri" w:cs="Calibri"/>
        </w:rPr>
      </w:pPr>
    </w:p>
    <w:p w14:paraId="0000017C" w14:textId="77777777" w:rsidR="001E40A1" w:rsidRDefault="007A0446">
      <w:pPr>
        <w:jc w:val="both"/>
        <w:rPr>
          <w:rFonts w:ascii="Calibri" w:eastAsia="Calibri" w:hAnsi="Calibri" w:cs="Calibri"/>
        </w:rPr>
      </w:pPr>
      <w:r>
        <w:rPr>
          <w:rFonts w:ascii="Calibri" w:eastAsia="Calibri" w:hAnsi="Calibri" w:cs="Calibri"/>
        </w:rPr>
        <w:t>The shipping criteria have been developed with an intentional focus on the operational emissions of the shipping industry – those from the exhaust of ships in operation. That is not because non-operational emissions (for example upstream emissions from ene</w:t>
      </w:r>
      <w:r>
        <w:rPr>
          <w:rFonts w:ascii="Calibri" w:eastAsia="Calibri" w:hAnsi="Calibri" w:cs="Calibri"/>
        </w:rPr>
        <w:t>rgy production, or embodied emissions associated with manufacture and disposal) are not considered important. However, for practical reasons it is not deemed feasible for an issuer to manage the upstream or embedded emissions of an asset at point of bond i</w:t>
      </w:r>
      <w:r>
        <w:rPr>
          <w:rFonts w:ascii="Calibri" w:eastAsia="Calibri" w:hAnsi="Calibri" w:cs="Calibri"/>
        </w:rPr>
        <w:t xml:space="preserve">ssuance. </w:t>
      </w:r>
    </w:p>
    <w:p w14:paraId="0000017D" w14:textId="77777777" w:rsidR="001E40A1" w:rsidRDefault="001E40A1">
      <w:pPr>
        <w:jc w:val="both"/>
        <w:rPr>
          <w:rFonts w:ascii="Calibri" w:eastAsia="Calibri" w:hAnsi="Calibri" w:cs="Calibri"/>
        </w:rPr>
      </w:pPr>
    </w:p>
    <w:p w14:paraId="0000017E" w14:textId="77777777" w:rsidR="001E40A1" w:rsidRDefault="007A0446">
      <w:pPr>
        <w:jc w:val="both"/>
        <w:rPr>
          <w:rFonts w:ascii="Calibri" w:eastAsia="Calibri" w:hAnsi="Calibri" w:cs="Calibri"/>
        </w:rPr>
      </w:pPr>
      <w:r>
        <w:rPr>
          <w:rFonts w:ascii="Calibri" w:eastAsia="Calibri" w:hAnsi="Calibri" w:cs="Calibri"/>
        </w:rPr>
        <w:t>As a result, the shipping criteria are based on inclusion in scope of assets that are either ships, or the infrastructure that directly supplies ships with energy/fuel. For reasons of pragmatism, the criteria do not cover:</w:t>
      </w:r>
    </w:p>
    <w:p w14:paraId="0000017F" w14:textId="77777777" w:rsidR="001E40A1" w:rsidRDefault="007A044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Upstream infrastructur</w:t>
      </w:r>
      <w:r>
        <w:rPr>
          <w:rFonts w:ascii="Calibri" w:eastAsia="Calibri" w:hAnsi="Calibri" w:cs="Calibri"/>
          <w:color w:val="000000"/>
        </w:rPr>
        <w:t xml:space="preserve">e associated with the energy used by ships in operation, for example those associated with the production, transport of energy/fuel outside the port. </w:t>
      </w:r>
    </w:p>
    <w:p w14:paraId="00000180" w14:textId="77777777" w:rsidR="001E40A1" w:rsidRDefault="007A044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Infrastructure associated with the construction and disposal of ships</w:t>
      </w:r>
      <w:r>
        <w:rPr>
          <w:rFonts w:ascii="Calibri" w:eastAsia="Calibri" w:hAnsi="Calibri" w:cs="Calibri"/>
          <w:color w:val="000000"/>
          <w:vertAlign w:val="superscript"/>
        </w:rPr>
        <w:footnoteReference w:id="31"/>
      </w:r>
    </w:p>
    <w:p w14:paraId="00000181" w14:textId="77777777" w:rsidR="001E40A1" w:rsidRDefault="001E40A1">
      <w:pPr>
        <w:ind w:left="360"/>
        <w:rPr>
          <w:rFonts w:ascii="Calibri" w:eastAsia="Calibri" w:hAnsi="Calibri" w:cs="Calibri"/>
        </w:rPr>
      </w:pPr>
    </w:p>
    <w:p w14:paraId="00000182" w14:textId="77777777" w:rsidR="001E40A1" w:rsidRDefault="007A0446">
      <w:pPr>
        <w:jc w:val="both"/>
        <w:rPr>
          <w:rFonts w:ascii="Calibri" w:eastAsia="Calibri" w:hAnsi="Calibri" w:cs="Calibri"/>
        </w:rPr>
      </w:pPr>
      <w:bookmarkStart w:id="26" w:name="_heading=h.qsh70q" w:colFirst="0" w:colLast="0"/>
      <w:bookmarkEnd w:id="26"/>
      <w:r>
        <w:rPr>
          <w:rFonts w:ascii="Calibri" w:eastAsia="Calibri" w:hAnsi="Calibri" w:cs="Calibri"/>
        </w:rPr>
        <w:t>These criteria cannot be used to</w:t>
      </w:r>
      <w:r>
        <w:rPr>
          <w:rFonts w:ascii="Calibri" w:eastAsia="Calibri" w:hAnsi="Calibri" w:cs="Calibri"/>
        </w:rPr>
        <w:t xml:space="preserve"> certify assets associated with the upstream production of fossil-based energy/fuel or the manufacture of ships. Other types of port infrastructure (e.g. those not directly related to the direct supply of net-zero emissions energy/fuel to a ship), are also</w:t>
      </w:r>
      <w:r>
        <w:rPr>
          <w:rFonts w:ascii="Calibri" w:eastAsia="Calibri" w:hAnsi="Calibri" w:cs="Calibri"/>
        </w:rPr>
        <w:t xml:space="preserve"> out of scope. </w:t>
      </w:r>
    </w:p>
    <w:p w14:paraId="00000183" w14:textId="77777777" w:rsidR="001E40A1" w:rsidRDefault="001E40A1">
      <w:pPr>
        <w:jc w:val="both"/>
        <w:rPr>
          <w:rFonts w:ascii="Calibri" w:eastAsia="Calibri" w:hAnsi="Calibri" w:cs="Calibri"/>
        </w:rPr>
      </w:pPr>
    </w:p>
    <w:p w14:paraId="00000184" w14:textId="77777777" w:rsidR="001E40A1" w:rsidRDefault="007A0446">
      <w:pPr>
        <w:jc w:val="both"/>
        <w:rPr>
          <w:rFonts w:ascii="Calibri" w:eastAsia="Calibri" w:hAnsi="Calibri" w:cs="Calibri"/>
        </w:rPr>
      </w:pPr>
      <w:r>
        <w:rPr>
          <w:rFonts w:ascii="Calibri" w:eastAsia="Calibri" w:hAnsi="Calibri" w:cs="Calibri"/>
        </w:rPr>
        <w:t>We also recognise that refrigeration gases on reefers pose a significant challenge to both our ozone layer and global warming, and there are opportunities for the shipping sector to reduce these impacts. However, these assets and emissions</w:t>
      </w:r>
      <w:r>
        <w:rPr>
          <w:rFonts w:ascii="Calibri" w:eastAsia="Calibri" w:hAnsi="Calibri" w:cs="Calibri"/>
        </w:rPr>
        <w:t xml:space="preserve"> were not included within scope of the shipping criteria because their use crosses between different industries across the transportation and logistics sector.  </w:t>
      </w:r>
    </w:p>
    <w:p w14:paraId="00000185" w14:textId="77777777" w:rsidR="001E40A1" w:rsidRDefault="007A0446">
      <w:pPr>
        <w:jc w:val="both"/>
        <w:rPr>
          <w:rFonts w:ascii="Calibri" w:eastAsia="Calibri" w:hAnsi="Calibri" w:cs="Calibri"/>
        </w:rPr>
      </w:pPr>
      <w:r>
        <w:br w:type="page"/>
      </w:r>
    </w:p>
    <w:p w14:paraId="00000186" w14:textId="77777777" w:rsidR="001E40A1" w:rsidRDefault="007A0446">
      <w:pPr>
        <w:pStyle w:val="Heading1"/>
        <w:numPr>
          <w:ilvl w:val="0"/>
          <w:numId w:val="2"/>
        </w:numPr>
      </w:pPr>
      <w:bookmarkStart w:id="27" w:name="_heading=h.3as4poj" w:colFirst="0" w:colLast="0"/>
      <w:bookmarkEnd w:id="27"/>
      <w:r>
        <w:lastRenderedPageBreak/>
        <w:t>Discussion and Eligibility Criteria for the Shipping Sector</w:t>
      </w:r>
    </w:p>
    <w:p w14:paraId="00000187" w14:textId="77777777" w:rsidR="001E40A1" w:rsidRDefault="001E40A1">
      <w:pPr>
        <w:rPr>
          <w:rFonts w:ascii="Calibri" w:eastAsia="Calibri" w:hAnsi="Calibri" w:cs="Calibri"/>
        </w:rPr>
      </w:pPr>
    </w:p>
    <w:p w14:paraId="00000188" w14:textId="77777777" w:rsidR="001E40A1" w:rsidRDefault="007A0446">
      <w:pPr>
        <w:pStyle w:val="Heading2"/>
        <w:numPr>
          <w:ilvl w:val="1"/>
          <w:numId w:val="2"/>
        </w:numPr>
        <w:rPr>
          <w:rFonts w:ascii="Calibri" w:eastAsia="Calibri" w:hAnsi="Calibri" w:cs="Calibri"/>
          <w:sz w:val="20"/>
          <w:szCs w:val="20"/>
        </w:rPr>
      </w:pPr>
      <w:bookmarkStart w:id="28" w:name="_heading=h.1pxezwc" w:colFirst="0" w:colLast="0"/>
      <w:bookmarkEnd w:id="28"/>
      <w:r>
        <w:rPr>
          <w:rFonts w:ascii="Calibri" w:eastAsia="Calibri" w:hAnsi="Calibri" w:cs="Calibri"/>
          <w:sz w:val="20"/>
          <w:szCs w:val="20"/>
        </w:rPr>
        <w:t xml:space="preserve">Overarching considerations and </w:t>
      </w:r>
      <w:r>
        <w:rPr>
          <w:rFonts w:ascii="Calibri" w:eastAsia="Calibri" w:hAnsi="Calibri" w:cs="Calibri"/>
          <w:sz w:val="20"/>
          <w:szCs w:val="20"/>
        </w:rPr>
        <w:t>requirements for the Shipping Sector</w:t>
      </w:r>
    </w:p>
    <w:p w14:paraId="00000189" w14:textId="77777777" w:rsidR="001E40A1" w:rsidRDefault="001E40A1">
      <w:pPr>
        <w:rPr>
          <w:rFonts w:ascii="Calibri" w:eastAsia="Calibri" w:hAnsi="Calibri" w:cs="Calibri"/>
        </w:rPr>
      </w:pPr>
    </w:p>
    <w:p w14:paraId="0000018A" w14:textId="77777777" w:rsidR="001E40A1" w:rsidRDefault="007A0446">
      <w:pPr>
        <w:jc w:val="both"/>
        <w:rPr>
          <w:rFonts w:ascii="Calibri" w:eastAsia="Calibri" w:hAnsi="Calibri" w:cs="Calibri"/>
        </w:rPr>
      </w:pPr>
      <w:r>
        <w:rPr>
          <w:rFonts w:ascii="Calibri" w:eastAsia="Calibri" w:hAnsi="Calibri" w:cs="Calibri"/>
        </w:rPr>
        <w:t>The requirements have been defined for both the shipping sector as a whole, and subsequently (Section 3) for specific shipping assets. We propose to use a top-down approach because the environmental regulation for redu</w:t>
      </w:r>
      <w:r>
        <w:rPr>
          <w:rFonts w:ascii="Calibri" w:eastAsia="Calibri" w:hAnsi="Calibri" w:cs="Calibri"/>
        </w:rPr>
        <w:t>cing carbon emissions in shipping has been set at an aggregate level of carbon emissions and evaluation criteria should be consistent across ship types and sizes. Table 5 describes the guiding requirements for the shipping sector. These are divided into tw</w:t>
      </w:r>
      <w:r>
        <w:rPr>
          <w:rFonts w:ascii="Calibri" w:eastAsia="Calibri" w:hAnsi="Calibri" w:cs="Calibri"/>
        </w:rPr>
        <w:t xml:space="preserve">o areas, those associated with mitigating the GHG emissions in the sector and those associated with ensuring the sector is resilient and adapted to foreseeable climate changes. Table 6 provides the shipping sector Mitigation Recommendations. </w:t>
      </w:r>
    </w:p>
    <w:p w14:paraId="0000018B" w14:textId="77777777" w:rsidR="001E40A1" w:rsidRDefault="001E40A1">
      <w:pPr>
        <w:rPr>
          <w:rFonts w:ascii="Calibri" w:eastAsia="Calibri" w:hAnsi="Calibri" w:cs="Calibri"/>
        </w:rPr>
      </w:pPr>
    </w:p>
    <w:p w14:paraId="0000018C" w14:textId="77777777" w:rsidR="001E40A1" w:rsidRDefault="007A0446">
      <w:pPr>
        <w:keepNext/>
        <w:pBdr>
          <w:top w:val="nil"/>
          <w:left w:val="nil"/>
          <w:bottom w:val="nil"/>
          <w:right w:val="nil"/>
          <w:between w:val="nil"/>
        </w:pBdr>
        <w:spacing w:after="200"/>
        <w:rPr>
          <w:rFonts w:ascii="Calibri" w:eastAsia="Calibri" w:hAnsi="Calibri" w:cs="Calibri"/>
          <w:b/>
          <w:color w:val="000000"/>
        </w:rPr>
      </w:pPr>
      <w:r>
        <w:rPr>
          <w:rFonts w:ascii="Calibri" w:eastAsia="Calibri" w:hAnsi="Calibri" w:cs="Calibri"/>
          <w:b/>
          <w:color w:val="000000"/>
        </w:rPr>
        <w:t>Table 5: Guiding requirements for the Shipping Sector</w:t>
      </w:r>
    </w:p>
    <w:tbl>
      <w:tblPr>
        <w:tblStyle w:val="a1"/>
        <w:tblW w:w="10196" w:type="dxa"/>
        <w:tblLayout w:type="fixed"/>
        <w:tblLook w:val="0400" w:firstRow="0" w:lastRow="0" w:firstColumn="0" w:lastColumn="0" w:noHBand="0" w:noVBand="1"/>
      </w:tblPr>
      <w:tblGrid>
        <w:gridCol w:w="1975"/>
        <w:gridCol w:w="8221"/>
      </w:tblGrid>
      <w:tr w:rsidR="001E40A1" w14:paraId="4A662736" w14:textId="77777777">
        <w:trPr>
          <w:trHeight w:val="15"/>
        </w:trPr>
        <w:tc>
          <w:tcPr>
            <w:tcW w:w="19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000018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Area</w:t>
            </w:r>
          </w:p>
        </w:tc>
        <w:tc>
          <w:tcPr>
            <w:tcW w:w="8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000018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Requirements</w:t>
            </w:r>
          </w:p>
        </w:tc>
      </w:tr>
      <w:tr w:rsidR="001E40A1" w14:paraId="4BFB1078" w14:textId="77777777">
        <w:trPr>
          <w:trHeight w:val="502"/>
        </w:trPr>
        <w:tc>
          <w:tcPr>
            <w:tcW w:w="19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0018F"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Mitigation</w:t>
            </w:r>
          </w:p>
        </w:tc>
        <w:tc>
          <w:tcPr>
            <w:tcW w:w="8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00190" w14:textId="77777777" w:rsidR="001E40A1" w:rsidRDefault="007A0446">
            <w:pPr>
              <w:numPr>
                <w:ilvl w:val="0"/>
                <w:numId w:val="22"/>
              </w:numPr>
              <w:pBdr>
                <w:top w:val="none" w:sz="0" w:space="0" w:color="000000"/>
                <w:left w:val="none" w:sz="0" w:space="0" w:color="000000"/>
                <w:bottom w:val="none" w:sz="0" w:space="0" w:color="000000"/>
                <w:right w:val="none" w:sz="0" w:space="0" w:color="000000"/>
                <w:between w:val="none" w:sz="0" w:space="0" w:color="000000"/>
              </w:pBdr>
              <w:ind w:left="429" w:hanging="284"/>
              <w:rPr>
                <w:rFonts w:ascii="Calibri" w:eastAsia="Calibri" w:hAnsi="Calibri" w:cs="Calibri"/>
                <w:color w:val="000000"/>
              </w:rPr>
            </w:pPr>
            <w:r>
              <w:rPr>
                <w:rFonts w:ascii="Calibri" w:eastAsia="Calibri" w:hAnsi="Calibri" w:cs="Calibri"/>
                <w:color w:val="000000"/>
              </w:rPr>
              <w:t xml:space="preserve">The asset is compatible with transition to low carbon economy and keeping global warming well below 2°C. </w:t>
            </w:r>
          </w:p>
          <w:p w14:paraId="00000191" w14:textId="77777777" w:rsidR="001E40A1" w:rsidRDefault="007A0446">
            <w:pPr>
              <w:numPr>
                <w:ilvl w:val="0"/>
                <w:numId w:val="22"/>
              </w:numPr>
              <w:pBdr>
                <w:top w:val="none" w:sz="0" w:space="0" w:color="000000"/>
                <w:left w:val="none" w:sz="0" w:space="0" w:color="000000"/>
                <w:bottom w:val="none" w:sz="0" w:space="0" w:color="000000"/>
                <w:right w:val="none" w:sz="0" w:space="0" w:color="000000"/>
                <w:between w:val="none" w:sz="0" w:space="0" w:color="000000"/>
              </w:pBdr>
              <w:ind w:left="429" w:hanging="284"/>
              <w:rPr>
                <w:rFonts w:ascii="Calibri" w:eastAsia="Calibri" w:hAnsi="Calibri" w:cs="Calibri"/>
                <w:color w:val="000000"/>
              </w:rPr>
            </w:pPr>
            <w:r>
              <w:rPr>
                <w:rFonts w:ascii="Calibri" w:eastAsia="Calibri" w:hAnsi="Calibri" w:cs="Calibri"/>
                <w:color w:val="000000"/>
              </w:rPr>
              <w:t>The asset is resilient to transitional risks by anticipating future financial impacts</w:t>
            </w:r>
          </w:p>
          <w:p w14:paraId="00000192"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ind w:left="429" w:hanging="284"/>
              <w:rPr>
                <w:rFonts w:ascii="Calibri" w:eastAsia="Calibri" w:hAnsi="Calibri" w:cs="Calibri"/>
                <w:color w:val="000000"/>
              </w:rPr>
            </w:pPr>
          </w:p>
        </w:tc>
      </w:tr>
      <w:tr w:rsidR="001E40A1" w14:paraId="79B39ADD" w14:textId="77777777">
        <w:trPr>
          <w:trHeight w:val="235"/>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0000193"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Adaptation</w:t>
            </w:r>
          </w:p>
        </w:tc>
        <w:tc>
          <w:tcPr>
            <w:tcW w:w="8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0000194" w14:textId="77777777" w:rsidR="001E40A1" w:rsidRDefault="007A0446">
            <w:pPr>
              <w:numPr>
                <w:ilvl w:val="0"/>
                <w:numId w:val="22"/>
              </w:numPr>
              <w:pBdr>
                <w:top w:val="none" w:sz="0" w:space="0" w:color="000000"/>
                <w:left w:val="none" w:sz="0" w:space="0" w:color="000000"/>
                <w:bottom w:val="none" w:sz="0" w:space="0" w:color="000000"/>
                <w:right w:val="none" w:sz="0" w:space="0" w:color="000000"/>
                <w:between w:val="none" w:sz="0" w:space="0" w:color="000000"/>
              </w:pBdr>
              <w:ind w:left="429" w:hanging="284"/>
              <w:rPr>
                <w:rFonts w:ascii="Calibri" w:eastAsia="Calibri" w:hAnsi="Calibri" w:cs="Calibri"/>
                <w:color w:val="000000"/>
              </w:rPr>
            </w:pPr>
            <w:r>
              <w:rPr>
                <w:rFonts w:ascii="Calibri" w:eastAsia="Calibri" w:hAnsi="Calibri" w:cs="Calibri"/>
                <w:color w:val="000000"/>
              </w:rPr>
              <w:t>The asset adapts to adverse climate impacts such as severe storms and sea level rise.</w:t>
            </w:r>
          </w:p>
          <w:p w14:paraId="00000195" w14:textId="77777777" w:rsidR="001E40A1" w:rsidRDefault="007A0446">
            <w:pPr>
              <w:numPr>
                <w:ilvl w:val="0"/>
                <w:numId w:val="22"/>
              </w:numPr>
              <w:pBdr>
                <w:top w:val="none" w:sz="0" w:space="0" w:color="000000"/>
                <w:left w:val="none" w:sz="0" w:space="0" w:color="000000"/>
                <w:bottom w:val="none" w:sz="0" w:space="0" w:color="000000"/>
                <w:right w:val="none" w:sz="0" w:space="0" w:color="000000"/>
                <w:between w:val="none" w:sz="0" w:space="0" w:color="000000"/>
              </w:pBdr>
              <w:ind w:left="429" w:hanging="284"/>
              <w:rPr>
                <w:rFonts w:ascii="Calibri" w:eastAsia="Calibri" w:hAnsi="Calibri" w:cs="Calibri"/>
                <w:color w:val="000000"/>
              </w:rPr>
            </w:pPr>
            <w:r>
              <w:rPr>
                <w:rFonts w:ascii="Calibri" w:eastAsia="Calibri" w:hAnsi="Calibri" w:cs="Calibri"/>
                <w:color w:val="000000"/>
              </w:rPr>
              <w:t xml:space="preserve">The asset promotes resilience to climate change. </w:t>
            </w:r>
          </w:p>
        </w:tc>
      </w:tr>
    </w:tbl>
    <w:p w14:paraId="00000196" w14:textId="77777777" w:rsidR="001E40A1" w:rsidRDefault="001E40A1">
      <w:pPr>
        <w:rPr>
          <w:rFonts w:ascii="Calibri" w:eastAsia="Calibri" w:hAnsi="Calibri" w:cs="Calibri"/>
        </w:rPr>
      </w:pPr>
    </w:p>
    <w:p w14:paraId="00000197" w14:textId="77777777" w:rsidR="001E40A1" w:rsidRDefault="007A0446">
      <w:pPr>
        <w:pStyle w:val="Heading3"/>
        <w:numPr>
          <w:ilvl w:val="2"/>
          <w:numId w:val="2"/>
        </w:numPr>
        <w:rPr>
          <w:rFonts w:ascii="Calibri" w:eastAsia="Calibri" w:hAnsi="Calibri" w:cs="Calibri"/>
        </w:rPr>
      </w:pPr>
      <w:bookmarkStart w:id="29" w:name="_heading=h.49x2ik5" w:colFirst="0" w:colLast="0"/>
      <w:bookmarkEnd w:id="29"/>
      <w:r>
        <w:rPr>
          <w:rFonts w:ascii="Calibri" w:eastAsia="Calibri" w:hAnsi="Calibri" w:cs="Calibri"/>
        </w:rPr>
        <w:t>Mitigation Requirements for the Shipping Sector</w:t>
      </w:r>
    </w:p>
    <w:p w14:paraId="00000198" w14:textId="77777777" w:rsidR="001E40A1" w:rsidRDefault="001E40A1">
      <w:pPr>
        <w:jc w:val="both"/>
        <w:rPr>
          <w:rFonts w:ascii="Calibri" w:eastAsia="Calibri" w:hAnsi="Calibri" w:cs="Calibri"/>
        </w:rPr>
      </w:pPr>
    </w:p>
    <w:p w14:paraId="00000199" w14:textId="77777777" w:rsidR="001E40A1" w:rsidRDefault="007A0446">
      <w:pPr>
        <w:jc w:val="both"/>
        <w:rPr>
          <w:rFonts w:ascii="Calibri" w:eastAsia="Calibri" w:hAnsi="Calibri" w:cs="Calibri"/>
        </w:rPr>
      </w:pPr>
      <w:r>
        <w:rPr>
          <w:rFonts w:ascii="Calibri" w:eastAsia="Calibri" w:hAnsi="Calibri" w:cs="Calibri"/>
        </w:rPr>
        <w:t>The guiding requirements for mitigation set out in Table 5 ensure that overall, the sector is compatible with the level of ambition set in the Climate Bond Standard Shipping Criteria – to keep global warming well below 2°C above pre-industrial levels, maki</w:t>
      </w:r>
      <w:r>
        <w:rPr>
          <w:rFonts w:ascii="Calibri" w:eastAsia="Calibri" w:hAnsi="Calibri" w:cs="Calibri"/>
        </w:rPr>
        <w:t>ng efforts to limit temperature increase to 1.5°C, set by the Paris Agreement. To make this transition, the shipping sector needs to anticipate the challenges of decarbonising the shipping stock by anticipating future financial impacts of decisions made at</w:t>
      </w:r>
      <w:r>
        <w:rPr>
          <w:rFonts w:ascii="Calibri" w:eastAsia="Calibri" w:hAnsi="Calibri" w:cs="Calibri"/>
        </w:rPr>
        <w:t xml:space="preserve"> the time of investment. </w:t>
      </w:r>
    </w:p>
    <w:p w14:paraId="0000019A" w14:textId="77777777" w:rsidR="001E40A1" w:rsidRDefault="001E40A1">
      <w:pPr>
        <w:rPr>
          <w:rFonts w:ascii="Calibri" w:eastAsia="Calibri" w:hAnsi="Calibri" w:cs="Calibri"/>
        </w:rPr>
      </w:pPr>
    </w:p>
    <w:p w14:paraId="0000019B" w14:textId="77777777" w:rsidR="001E40A1" w:rsidRDefault="007A0446">
      <w:pPr>
        <w:pStyle w:val="Heading3"/>
        <w:numPr>
          <w:ilvl w:val="2"/>
          <w:numId w:val="2"/>
        </w:numPr>
        <w:rPr>
          <w:rFonts w:ascii="Calibri" w:eastAsia="Calibri" w:hAnsi="Calibri" w:cs="Calibri"/>
        </w:rPr>
      </w:pPr>
      <w:bookmarkStart w:id="30" w:name="_heading=h.2p2csry" w:colFirst="0" w:colLast="0"/>
      <w:bookmarkEnd w:id="30"/>
      <w:r>
        <w:rPr>
          <w:rFonts w:ascii="Calibri" w:eastAsia="Calibri" w:hAnsi="Calibri" w:cs="Calibri"/>
        </w:rPr>
        <w:t>Adaptation and resilience requirements for the Shipping Sector</w:t>
      </w:r>
    </w:p>
    <w:p w14:paraId="0000019C" w14:textId="77777777" w:rsidR="001E40A1" w:rsidRDefault="001E40A1">
      <w:pPr>
        <w:jc w:val="both"/>
        <w:rPr>
          <w:rFonts w:ascii="Calibri" w:eastAsia="Calibri" w:hAnsi="Calibri" w:cs="Calibri"/>
        </w:rPr>
      </w:pPr>
    </w:p>
    <w:p w14:paraId="0000019D" w14:textId="77777777" w:rsidR="001E40A1" w:rsidRDefault="007A0446">
      <w:pPr>
        <w:jc w:val="both"/>
        <w:rPr>
          <w:rFonts w:ascii="Calibri" w:eastAsia="Calibri" w:hAnsi="Calibri" w:cs="Calibri"/>
        </w:rPr>
      </w:pPr>
      <w:r>
        <w:rPr>
          <w:rFonts w:ascii="Calibri" w:eastAsia="Calibri" w:hAnsi="Calibri" w:cs="Calibri"/>
        </w:rPr>
        <w:t>The guiding requirements for adaptation will be discussed during the TWG/IWG meetings and aligned with other ongoing work at Climate Bonds Initiative, particularly t</w:t>
      </w:r>
      <w:r>
        <w:rPr>
          <w:rFonts w:ascii="Calibri" w:eastAsia="Calibri" w:hAnsi="Calibri" w:cs="Calibri"/>
        </w:rPr>
        <w:t xml:space="preserve">hat of the Adaptation and Resilience Expert Group (AREG). With regards to flood defence and surge barrier investments, issuers can refer to existing Water Infrastructure criteria. </w:t>
      </w:r>
      <w:r>
        <w:rPr>
          <w:rFonts w:ascii="Calibri" w:eastAsia="Calibri" w:hAnsi="Calibri" w:cs="Calibri"/>
        </w:rPr>
        <w:tab/>
      </w:r>
      <w:r>
        <w:rPr>
          <w:rFonts w:ascii="Calibri" w:eastAsia="Calibri" w:hAnsi="Calibri" w:cs="Calibri"/>
        </w:rPr>
        <w:br/>
      </w:r>
    </w:p>
    <w:p w14:paraId="0000019E" w14:textId="77777777" w:rsidR="001E40A1" w:rsidRDefault="007A0446">
      <w:pPr>
        <w:pStyle w:val="Heading2"/>
        <w:numPr>
          <w:ilvl w:val="1"/>
          <w:numId w:val="2"/>
        </w:numPr>
        <w:rPr>
          <w:rFonts w:ascii="Calibri" w:eastAsia="Calibri" w:hAnsi="Calibri" w:cs="Calibri"/>
          <w:sz w:val="20"/>
          <w:szCs w:val="20"/>
        </w:rPr>
      </w:pPr>
      <w:bookmarkStart w:id="31" w:name="_heading=h.147n2zr" w:colFirst="0" w:colLast="0"/>
      <w:bookmarkEnd w:id="31"/>
      <w:r>
        <w:rPr>
          <w:rFonts w:ascii="Calibri" w:eastAsia="Calibri" w:hAnsi="Calibri" w:cs="Calibri"/>
          <w:sz w:val="20"/>
          <w:szCs w:val="20"/>
        </w:rPr>
        <w:t>Specification and justification of mitigation requirements for the Shippi</w:t>
      </w:r>
      <w:r>
        <w:rPr>
          <w:rFonts w:ascii="Calibri" w:eastAsia="Calibri" w:hAnsi="Calibri" w:cs="Calibri"/>
          <w:sz w:val="20"/>
          <w:szCs w:val="20"/>
        </w:rPr>
        <w:t>ng Sector</w:t>
      </w:r>
    </w:p>
    <w:p w14:paraId="0000019F" w14:textId="77777777" w:rsidR="001E40A1" w:rsidRDefault="001E40A1">
      <w:pPr>
        <w:jc w:val="both"/>
        <w:rPr>
          <w:rFonts w:ascii="Calibri" w:eastAsia="Calibri" w:hAnsi="Calibri" w:cs="Calibri"/>
        </w:rPr>
      </w:pPr>
    </w:p>
    <w:p w14:paraId="000001A0" w14:textId="77777777" w:rsidR="001E40A1" w:rsidRDefault="007A0446">
      <w:pPr>
        <w:jc w:val="both"/>
        <w:rPr>
          <w:rFonts w:ascii="Calibri" w:eastAsia="Calibri" w:hAnsi="Calibri" w:cs="Calibri"/>
        </w:rPr>
      </w:pPr>
      <w:r>
        <w:rPr>
          <w:rFonts w:ascii="Calibri" w:eastAsia="Calibri" w:hAnsi="Calibri" w:cs="Calibri"/>
        </w:rPr>
        <w:t>Table 6 provides recommendations for meeting the shipping sector mitigation requirements. The following sections discuss and justify each recommendation.</w:t>
      </w:r>
    </w:p>
    <w:p w14:paraId="000001A1" w14:textId="77777777" w:rsidR="001E40A1" w:rsidRDefault="001E40A1">
      <w:pPr>
        <w:rPr>
          <w:rFonts w:ascii="Calibri" w:eastAsia="Calibri" w:hAnsi="Calibri" w:cs="Calibri"/>
        </w:rPr>
      </w:pPr>
    </w:p>
    <w:p w14:paraId="000001A2" w14:textId="77777777" w:rsidR="001E40A1" w:rsidRDefault="007A0446">
      <w:pPr>
        <w:keepNext/>
        <w:pBdr>
          <w:top w:val="nil"/>
          <w:left w:val="nil"/>
          <w:bottom w:val="nil"/>
          <w:right w:val="nil"/>
          <w:between w:val="nil"/>
        </w:pBdr>
        <w:spacing w:after="200"/>
        <w:rPr>
          <w:rFonts w:ascii="Calibri" w:eastAsia="Calibri" w:hAnsi="Calibri" w:cs="Calibri"/>
          <w:b/>
          <w:color w:val="000000"/>
        </w:rPr>
      </w:pPr>
      <w:r>
        <w:rPr>
          <w:rFonts w:ascii="Calibri" w:eastAsia="Calibri" w:hAnsi="Calibri" w:cs="Calibri"/>
          <w:b/>
          <w:color w:val="000000"/>
        </w:rPr>
        <w:t>Table 6: Guiding recommendations for criteria development</w:t>
      </w:r>
    </w:p>
    <w:tbl>
      <w:tblPr>
        <w:tblStyle w:val="a2"/>
        <w:tblW w:w="1033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10338"/>
      </w:tblGrid>
      <w:tr w:rsidR="001E40A1" w14:paraId="7A49173A" w14:textId="77777777" w:rsidTr="001E40A1">
        <w:trPr>
          <w:cnfStyle w:val="100000000000" w:firstRow="1" w:lastRow="0" w:firstColumn="0" w:lastColumn="0" w:oddVBand="0" w:evenVBand="0" w:oddHBand="0" w:evenHBand="0" w:firstRowFirstColumn="0" w:firstRowLastColumn="0" w:lastRowFirstColumn="0" w:lastRowLastColumn="0"/>
          <w:trHeight w:val="15"/>
        </w:trPr>
        <w:tc>
          <w:tcPr>
            <w:tcW w:w="10338" w:type="dxa"/>
          </w:tcPr>
          <w:p w14:paraId="000001A3" w14:textId="77777777" w:rsidR="001E40A1" w:rsidRDefault="007A0446">
            <w:pPr>
              <w:rPr>
                <w:rFonts w:ascii="Calibri" w:eastAsia="Calibri" w:hAnsi="Calibri" w:cs="Calibri"/>
              </w:rPr>
            </w:pPr>
            <w:r>
              <w:rPr>
                <w:rFonts w:ascii="Calibri" w:eastAsia="Calibri" w:hAnsi="Calibri" w:cs="Calibri"/>
              </w:rPr>
              <w:t>Recommendations</w:t>
            </w:r>
          </w:p>
        </w:tc>
      </w:tr>
      <w:tr w:rsidR="001E40A1" w14:paraId="610D1184" w14:textId="77777777" w:rsidTr="001E40A1">
        <w:trPr>
          <w:cnfStyle w:val="000000100000" w:firstRow="0" w:lastRow="0" w:firstColumn="0" w:lastColumn="0" w:oddVBand="0" w:evenVBand="0" w:oddHBand="1" w:evenHBand="0" w:firstRowFirstColumn="0" w:firstRowLastColumn="0" w:lastRowFirstColumn="0" w:lastRowLastColumn="0"/>
          <w:trHeight w:val="714"/>
        </w:trPr>
        <w:tc>
          <w:tcPr>
            <w:tcW w:w="10338" w:type="dxa"/>
            <w:shd w:val="clear" w:color="auto" w:fill="B4C6E7"/>
          </w:tcPr>
          <w:p w14:paraId="000001A4" w14:textId="77777777" w:rsidR="001E40A1" w:rsidRDefault="007A0446">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The shipping sector is compatible if it meets the upper bound of the IMO’s Objective 3 for GHG emissions to peak and reduce by 100% by 2050, and for emissions to continuously decline leading up to 2050. This is approaching the ambition of the Paris Agreeme</w:t>
            </w:r>
            <w:r>
              <w:rPr>
                <w:rFonts w:ascii="Calibri" w:eastAsia="Calibri" w:hAnsi="Calibri" w:cs="Calibri"/>
                <w:color w:val="000000"/>
              </w:rPr>
              <w:t xml:space="preserve">nt (see Section 2.3).  </w:t>
            </w:r>
          </w:p>
          <w:p w14:paraId="000001A5" w14:textId="77777777" w:rsidR="001E40A1" w:rsidRDefault="007A0446">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The global fleet’s compatibility will be assessed using the global carbon-equivalent intensity required to meet the climate goals over a time horizon to 2050.</w:t>
            </w:r>
          </w:p>
          <w:p w14:paraId="000001A6" w14:textId="77777777" w:rsidR="001E40A1" w:rsidRDefault="007A0446">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Dedicated infrastructure that enables the supply of non-fossil fuel/energ</w:t>
            </w:r>
            <w:r>
              <w:rPr>
                <w:rFonts w:ascii="Calibri" w:eastAsia="Calibri" w:hAnsi="Calibri" w:cs="Calibri"/>
                <w:color w:val="000000"/>
              </w:rPr>
              <w:t>y to a ship, or the transfer and transport of captured emissions from a ship are also eligible.</w:t>
            </w:r>
          </w:p>
          <w:p w14:paraId="000001A7" w14:textId="77777777" w:rsidR="001E40A1" w:rsidRDefault="007A0446">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lastRenderedPageBreak/>
              <w:t>An asset must operate underneath the emissions intensity threshold for its respective class and size for each corresponding year that the bond is outstanding.</w:t>
            </w:r>
          </w:p>
          <w:p w14:paraId="000001A8" w14:textId="77777777" w:rsidR="001E40A1" w:rsidRDefault="007A0446">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rPr>
              <w:t xml:space="preserve">n asset should not cause significant harm to climate change mitigation through the activities that it enables. </w:t>
            </w:r>
          </w:p>
          <w:p w14:paraId="000001A9"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tc>
      </w:tr>
    </w:tbl>
    <w:p w14:paraId="000001AA" w14:textId="77777777" w:rsidR="001E40A1" w:rsidRDefault="001E40A1">
      <w:pPr>
        <w:rPr>
          <w:rFonts w:ascii="Calibri" w:eastAsia="Calibri" w:hAnsi="Calibri" w:cs="Calibri"/>
        </w:rPr>
      </w:pPr>
    </w:p>
    <w:p w14:paraId="000001AB" w14:textId="77777777" w:rsidR="001E40A1" w:rsidRDefault="001E40A1">
      <w:pPr>
        <w:rPr>
          <w:rFonts w:ascii="Calibri" w:eastAsia="Calibri" w:hAnsi="Calibri" w:cs="Calibri"/>
        </w:rPr>
      </w:pPr>
    </w:p>
    <w:p w14:paraId="000001AC" w14:textId="77777777" w:rsidR="001E40A1" w:rsidRDefault="007A0446">
      <w:pPr>
        <w:pStyle w:val="Heading3"/>
        <w:numPr>
          <w:ilvl w:val="2"/>
          <w:numId w:val="2"/>
        </w:numPr>
        <w:rPr>
          <w:rFonts w:ascii="Calibri" w:eastAsia="Calibri" w:hAnsi="Calibri" w:cs="Calibri"/>
        </w:rPr>
      </w:pPr>
      <w:bookmarkStart w:id="32" w:name="_heading=h.3o7alnk" w:colFirst="0" w:colLast="0"/>
      <w:bookmarkEnd w:id="32"/>
      <w:r>
        <w:rPr>
          <w:rFonts w:ascii="Calibri" w:eastAsia="Calibri" w:hAnsi="Calibri" w:cs="Calibri"/>
        </w:rPr>
        <w:t>Sector compatibility with a &lt;2°C level of ambition</w:t>
      </w:r>
    </w:p>
    <w:p w14:paraId="000001AD" w14:textId="77777777" w:rsidR="001E40A1" w:rsidRDefault="001E40A1">
      <w:pPr>
        <w:jc w:val="both"/>
        <w:rPr>
          <w:rFonts w:ascii="Calibri" w:eastAsia="Calibri" w:hAnsi="Calibri" w:cs="Calibri"/>
        </w:rPr>
      </w:pPr>
    </w:p>
    <w:p w14:paraId="000001AE" w14:textId="77777777" w:rsidR="001E40A1" w:rsidRDefault="007A0446">
      <w:pPr>
        <w:jc w:val="both"/>
        <w:rPr>
          <w:rFonts w:ascii="Calibri" w:eastAsia="Calibri" w:hAnsi="Calibri" w:cs="Calibri"/>
        </w:rPr>
      </w:pPr>
      <w:r>
        <w:rPr>
          <w:rFonts w:ascii="Calibri" w:eastAsia="Calibri" w:hAnsi="Calibri" w:cs="Calibri"/>
        </w:rPr>
        <w:t>Section 2 discussed the inconsistencies between the IMO’s second and third objectives – carbon-equivalent intensity and absolute GHG reduction targets. For the reasons stated, it is recommended that the Standard is aligned with the IMO’s absolute emissions</w:t>
      </w:r>
      <w:r>
        <w:rPr>
          <w:rFonts w:ascii="Calibri" w:eastAsia="Calibri" w:hAnsi="Calibri" w:cs="Calibri"/>
        </w:rPr>
        <w:t xml:space="preserve"> objective – reducing GHG emissions by “at least” 50% by 2050 compared to 2008 levels. The “at least” terminology leaves open the possibility that the IMO will pursue an upper bound of emissions reductions of 100% by 2050. </w:t>
      </w:r>
    </w:p>
    <w:p w14:paraId="000001AF" w14:textId="77777777" w:rsidR="001E40A1" w:rsidRDefault="001E40A1">
      <w:pPr>
        <w:jc w:val="both"/>
        <w:rPr>
          <w:rFonts w:ascii="Calibri" w:eastAsia="Calibri" w:hAnsi="Calibri" w:cs="Calibri"/>
        </w:rPr>
      </w:pPr>
    </w:p>
    <w:p w14:paraId="000001B0" w14:textId="77777777" w:rsidR="001E40A1" w:rsidRDefault="007A0446">
      <w:pPr>
        <w:jc w:val="both"/>
        <w:rPr>
          <w:rFonts w:ascii="Calibri" w:eastAsia="Calibri" w:hAnsi="Calibri" w:cs="Calibri"/>
        </w:rPr>
      </w:pPr>
      <w:r>
        <w:rPr>
          <w:rFonts w:ascii="Calibri" w:eastAsia="Calibri" w:hAnsi="Calibri" w:cs="Calibri"/>
        </w:rPr>
        <w:t>The Strategy’s upper bound of 1</w:t>
      </w:r>
      <w:r>
        <w:rPr>
          <w:rFonts w:ascii="Calibri" w:eastAsia="Calibri" w:hAnsi="Calibri" w:cs="Calibri"/>
        </w:rPr>
        <w:t>00% reduction and requirement for emissions to peak as soon as possible was therefore identified as the sufficient level of ambition for the purposes of the Shipping Criteria and consistent with the Standard’s ambition to comply with the Paris Agreement. I</w:t>
      </w:r>
      <w:r>
        <w:rPr>
          <w:rFonts w:ascii="Calibri" w:eastAsia="Calibri" w:hAnsi="Calibri" w:cs="Calibri"/>
        </w:rPr>
        <w:t xml:space="preserve">n addition, as climate change is a result of the cumulative emissions in the atmosphere, absolute emissions must peak as soon as possible and decline over the time horizon been the peak and 2050. </w:t>
      </w:r>
    </w:p>
    <w:p w14:paraId="000001B1" w14:textId="77777777" w:rsidR="001E40A1" w:rsidRDefault="001E40A1">
      <w:pPr>
        <w:rPr>
          <w:rFonts w:ascii="Calibri" w:eastAsia="Calibri" w:hAnsi="Calibri" w:cs="Calibri"/>
        </w:rPr>
      </w:pPr>
    </w:p>
    <w:p w14:paraId="000001B2" w14:textId="77777777" w:rsidR="001E40A1" w:rsidRDefault="007A0446">
      <w:pPr>
        <w:pStyle w:val="Heading3"/>
        <w:numPr>
          <w:ilvl w:val="2"/>
          <w:numId w:val="2"/>
        </w:numPr>
        <w:rPr>
          <w:rFonts w:ascii="Calibri" w:eastAsia="Calibri" w:hAnsi="Calibri" w:cs="Calibri"/>
        </w:rPr>
      </w:pPr>
      <w:bookmarkStart w:id="33" w:name="_heading=h.23ckvvd" w:colFirst="0" w:colLast="0"/>
      <w:bookmarkEnd w:id="33"/>
      <w:r>
        <w:rPr>
          <w:rFonts w:ascii="Calibri" w:eastAsia="Calibri" w:hAnsi="Calibri" w:cs="Calibri"/>
        </w:rPr>
        <w:t xml:space="preserve">Metrics for assessing whether mitigation requirements are </w:t>
      </w:r>
      <w:r>
        <w:rPr>
          <w:rFonts w:ascii="Calibri" w:eastAsia="Calibri" w:hAnsi="Calibri" w:cs="Calibri"/>
        </w:rPr>
        <w:t>met</w:t>
      </w:r>
    </w:p>
    <w:p w14:paraId="000001B3" w14:textId="77777777" w:rsidR="001E40A1" w:rsidRDefault="001E40A1">
      <w:pPr>
        <w:jc w:val="both"/>
        <w:rPr>
          <w:rFonts w:ascii="Calibri" w:eastAsia="Calibri" w:hAnsi="Calibri" w:cs="Calibri"/>
        </w:rPr>
      </w:pPr>
    </w:p>
    <w:p w14:paraId="000001B4" w14:textId="77777777" w:rsidR="001E40A1" w:rsidRDefault="007A0446">
      <w:pPr>
        <w:jc w:val="both"/>
        <w:rPr>
          <w:rFonts w:ascii="Calibri" w:eastAsia="Calibri" w:hAnsi="Calibri" w:cs="Calibri"/>
        </w:rPr>
      </w:pPr>
      <w:r>
        <w:rPr>
          <w:rFonts w:ascii="Calibri" w:eastAsia="Calibri" w:hAnsi="Calibri" w:cs="Calibri"/>
        </w:rPr>
        <w:t xml:space="preserve">Both absolute and intensity-level measurements of GHG emissions are useful for evaluating a sector against a climate goal. Absolute emissions are important, as this is the total emissions figure that ultimately needs to be reduced to mitigate climate </w:t>
      </w:r>
      <w:r>
        <w:rPr>
          <w:rFonts w:ascii="Calibri" w:eastAsia="Calibri" w:hAnsi="Calibri" w:cs="Calibri"/>
        </w:rPr>
        <w:t>change. However, this does not provide sufficient information for a company to understand the carbon (or carbon equivalent) efficiency with which it conducts its business activities, because vessels have different production units and need to be compared o</w:t>
      </w:r>
      <w:r>
        <w:rPr>
          <w:rFonts w:ascii="Calibri" w:eastAsia="Calibri" w:hAnsi="Calibri" w:cs="Calibri"/>
        </w:rPr>
        <w:t>n a like-for-like basis.</w:t>
      </w:r>
      <w:r>
        <w:rPr>
          <w:rFonts w:ascii="Calibri" w:eastAsia="Calibri" w:hAnsi="Calibri" w:cs="Calibri"/>
          <w:color w:val="000000"/>
          <w:vertAlign w:val="superscript"/>
        </w:rPr>
        <w:footnoteReference w:id="32"/>
      </w:r>
      <w:r>
        <w:rPr>
          <w:rFonts w:ascii="Calibri" w:eastAsia="Calibri" w:hAnsi="Calibri" w:cs="Calibri"/>
        </w:rPr>
        <w:t xml:space="preserve"> For this reason, a relative intensity-level metric is proposed and will need to be derived in such a way that it is consistent with the absolute emissions targets.</w:t>
      </w:r>
      <w:r>
        <w:rPr>
          <w:rFonts w:ascii="Calibri" w:eastAsia="Calibri" w:hAnsi="Calibri" w:cs="Calibri"/>
          <w:color w:val="000000"/>
          <w:vertAlign w:val="superscript"/>
        </w:rPr>
        <w:footnoteReference w:id="33"/>
      </w:r>
    </w:p>
    <w:p w14:paraId="000001B5" w14:textId="77777777" w:rsidR="001E40A1" w:rsidRDefault="001E40A1">
      <w:pPr>
        <w:jc w:val="both"/>
        <w:rPr>
          <w:rFonts w:ascii="Calibri" w:eastAsia="Calibri" w:hAnsi="Calibri" w:cs="Calibri"/>
        </w:rPr>
      </w:pPr>
    </w:p>
    <w:p w14:paraId="000001B6" w14:textId="77777777" w:rsidR="001E40A1" w:rsidRDefault="007A0446">
      <w:pPr>
        <w:jc w:val="both"/>
        <w:rPr>
          <w:rFonts w:ascii="Calibri" w:eastAsia="Calibri" w:hAnsi="Calibri" w:cs="Calibri"/>
        </w:rPr>
      </w:pPr>
      <w:r>
        <w:rPr>
          <w:rFonts w:ascii="Calibri" w:eastAsia="Calibri" w:hAnsi="Calibri" w:cs="Calibri"/>
        </w:rPr>
        <w:t>In shipping, carbon intensity represents the total operational</w:t>
      </w:r>
      <w:r>
        <w:rPr>
          <w:rFonts w:ascii="Calibri" w:eastAsia="Calibri" w:hAnsi="Calibri" w:cs="Calibri"/>
        </w:rPr>
        <w:t xml:space="preserve"> emissions generated to satisfy a supply of transport work (gCO2e/tonne-nm). The shipping sector uses multiple metrics to assess the carbon intensity of ships (see Table 6 of Appendix 3 for an overview of the different starting points for different size an</w:t>
      </w:r>
      <w:r>
        <w:rPr>
          <w:rFonts w:ascii="Calibri" w:eastAsia="Calibri" w:hAnsi="Calibri" w:cs="Calibri"/>
        </w:rPr>
        <w:t>d class of ships). To provide the most accurate representation of a vessel’s climate impact, the carbon intensity of a vessel should be measured from its performance in real operating conditions instead of using a design specification metric (e.g. EEDI). T</w:t>
      </w:r>
      <w:r>
        <w:rPr>
          <w:rFonts w:ascii="Calibri" w:eastAsia="Calibri" w:hAnsi="Calibri" w:cs="Calibri"/>
        </w:rPr>
        <w:t>he EEDI is not a reliable estimate of the carbon intensity because it assumes that the ship sails at its design speed (full speed) and is fully loaded which in practice is not common. For newbuild ships, operational data will not be available at the time o</w:t>
      </w:r>
      <w:r>
        <w:rPr>
          <w:rFonts w:ascii="Calibri" w:eastAsia="Calibri" w:hAnsi="Calibri" w:cs="Calibri"/>
        </w:rPr>
        <w:t>f bond issuance and therefore the carbon intensity will need to be estimated.</w:t>
      </w:r>
    </w:p>
    <w:p w14:paraId="000001B7" w14:textId="77777777" w:rsidR="001E40A1" w:rsidRDefault="001E40A1">
      <w:pPr>
        <w:rPr>
          <w:rFonts w:ascii="Calibri" w:eastAsia="Calibri" w:hAnsi="Calibri" w:cs="Calibri"/>
        </w:rPr>
      </w:pPr>
    </w:p>
    <w:p w14:paraId="000001B8" w14:textId="77777777" w:rsidR="001E40A1" w:rsidRDefault="007A0446">
      <w:pPr>
        <w:jc w:val="both"/>
        <w:rPr>
          <w:rFonts w:ascii="Calibri" w:eastAsia="Calibri" w:hAnsi="Calibri" w:cs="Calibri"/>
        </w:rPr>
      </w:pPr>
      <w:r>
        <w:rPr>
          <w:rFonts w:ascii="Calibri" w:eastAsia="Calibri" w:hAnsi="Calibri" w:cs="Calibri"/>
        </w:rPr>
        <w:t>In IMO nomenclature, the carbon intensity is known as the Energy Efficiency Operational Index (EEOI) but the units are gCO2/tonne-nm rather than energy units</w:t>
      </w:r>
      <w:r>
        <w:rPr>
          <w:rFonts w:ascii="Calibri" w:eastAsia="Calibri" w:hAnsi="Calibri" w:cs="Calibri"/>
          <w:color w:val="000000"/>
          <w:vertAlign w:val="superscript"/>
        </w:rPr>
        <w:footnoteReference w:id="34"/>
      </w:r>
      <w:r>
        <w:rPr>
          <w:rFonts w:ascii="Calibri" w:eastAsia="Calibri" w:hAnsi="Calibri" w:cs="Calibri"/>
        </w:rPr>
        <w:t>. An alternative i</w:t>
      </w:r>
      <w:r>
        <w:rPr>
          <w:rFonts w:ascii="Calibri" w:eastAsia="Calibri" w:hAnsi="Calibri" w:cs="Calibri"/>
        </w:rPr>
        <w:t>ntensity metric is the Annual Efficiency Ratio (AER). AER is reported in unit grams of CO2 per tonne-mile (gCO2/dwt-nm</w:t>
      </w:r>
      <w:r>
        <w:rPr>
          <w:rFonts w:ascii="Calibri" w:eastAsia="Calibri" w:hAnsi="Calibri" w:cs="Calibri"/>
          <w:color w:val="000000"/>
          <w:vertAlign w:val="superscript"/>
        </w:rPr>
        <w:footnoteReference w:id="35"/>
      </w:r>
      <w:r>
        <w:rPr>
          <w:rFonts w:ascii="Calibri" w:eastAsia="Calibri" w:hAnsi="Calibri" w:cs="Calibri"/>
        </w:rPr>
        <w:t>). This metric is calculated using an approximation of the total annual transport work performed by a ship, obtained from its distance t</w:t>
      </w:r>
      <w:r>
        <w:rPr>
          <w:rFonts w:ascii="Calibri" w:eastAsia="Calibri" w:hAnsi="Calibri" w:cs="Calibri"/>
        </w:rPr>
        <w:t>ravelled and deadweight (in tonne units). It is recognised that AER is less accurate at estimating a vessel’s carbon intensity than some other metrics (e.g. EEOI), which use data on the actual mass of cargo carried and the loaded miles rather than total mi</w:t>
      </w:r>
      <w:r>
        <w:rPr>
          <w:rFonts w:ascii="Calibri" w:eastAsia="Calibri" w:hAnsi="Calibri" w:cs="Calibri"/>
        </w:rPr>
        <w:t>les. Because there are other important emissions that contribute to climate change which are expected to increase from LNG-powered ships which emit methane, we propose using carbon-equivalent intensity (gCO2-e/tonne-nm</w:t>
      </w:r>
      <w:r>
        <w:rPr>
          <w:rFonts w:ascii="Calibri" w:eastAsia="Calibri" w:hAnsi="Calibri" w:cs="Calibri"/>
          <w:color w:val="000000"/>
          <w:vertAlign w:val="superscript"/>
        </w:rPr>
        <w:footnoteReference w:id="36"/>
      </w:r>
      <w:r>
        <w:rPr>
          <w:rFonts w:ascii="Calibri" w:eastAsia="Calibri" w:hAnsi="Calibri" w:cs="Calibri"/>
        </w:rPr>
        <w:t xml:space="preserve">) as the metric for assessment of mitigation requirements. </w:t>
      </w:r>
    </w:p>
    <w:p w14:paraId="000001B9" w14:textId="77777777" w:rsidR="001E40A1" w:rsidRDefault="001E40A1">
      <w:pPr>
        <w:rPr>
          <w:rFonts w:ascii="Calibri" w:eastAsia="Calibri" w:hAnsi="Calibri" w:cs="Calibri"/>
        </w:rPr>
      </w:pPr>
    </w:p>
    <w:p w14:paraId="000001BA" w14:textId="77777777" w:rsidR="001E40A1" w:rsidRDefault="007A0446">
      <w:pPr>
        <w:rPr>
          <w:rFonts w:ascii="Calibri" w:eastAsia="Calibri" w:hAnsi="Calibri" w:cs="Calibri"/>
        </w:rPr>
      </w:pPr>
      <w:r>
        <w:rPr>
          <w:rFonts w:ascii="Calibri" w:eastAsia="Calibri" w:hAnsi="Calibri" w:cs="Calibri"/>
        </w:rPr>
        <w:t>To choose the appropriate metric, we evaluated each metric based on the following criteria:</w:t>
      </w:r>
    </w:p>
    <w:p w14:paraId="000001BB" w14:textId="77777777" w:rsidR="001E40A1" w:rsidRDefault="007A044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Enables comparison of ships with different transport work units</w:t>
      </w:r>
    </w:p>
    <w:p w14:paraId="000001BC" w14:textId="77777777" w:rsidR="001E40A1" w:rsidRDefault="007A044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Can measure GHG emissions of ships in r</w:t>
      </w:r>
      <w:r>
        <w:rPr>
          <w:rFonts w:ascii="Calibri" w:eastAsia="Calibri" w:hAnsi="Calibri" w:cs="Calibri"/>
          <w:color w:val="000000"/>
        </w:rPr>
        <w:t>eal operating conditions</w:t>
      </w:r>
    </w:p>
    <w:p w14:paraId="000001BD" w14:textId="77777777" w:rsidR="001E40A1" w:rsidRDefault="007A044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Data is available at a global level for all ships </w:t>
      </w:r>
    </w:p>
    <w:p w14:paraId="000001BE" w14:textId="77777777" w:rsidR="001E40A1" w:rsidRDefault="007A0446">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Can be aligned with IMO’s Initial Strategy absolute GHG emissions reduction objective</w:t>
      </w:r>
    </w:p>
    <w:p w14:paraId="000001BF" w14:textId="77777777" w:rsidR="001E40A1" w:rsidRDefault="001E40A1">
      <w:pPr>
        <w:rPr>
          <w:rFonts w:ascii="Calibri" w:eastAsia="Calibri" w:hAnsi="Calibri" w:cs="Calibri"/>
        </w:rPr>
      </w:pPr>
    </w:p>
    <w:p w14:paraId="000001C0" w14:textId="77777777" w:rsidR="001E40A1" w:rsidRDefault="007A0446">
      <w:pPr>
        <w:jc w:val="both"/>
      </w:pPr>
      <w:r>
        <w:rPr>
          <w:rFonts w:ascii="Calibri" w:eastAsia="Calibri" w:hAnsi="Calibri" w:cs="Calibri"/>
        </w:rPr>
        <w:t>Table 7 shows that no single metric satisfies all of the criteria. The most useful metrics we</w:t>
      </w:r>
      <w:r>
        <w:rPr>
          <w:rFonts w:ascii="Calibri" w:eastAsia="Calibri" w:hAnsi="Calibri" w:cs="Calibri"/>
        </w:rPr>
        <w:t>re EEOI and AER, but each has a trade-off between theoretical accuracy of the measure and data availability. EEOI is the most theoretically correct measure to use because it enables the carbon intensity to be measured on an apples-to-apples basis for ships</w:t>
      </w:r>
      <w:r>
        <w:rPr>
          <w:rFonts w:ascii="Calibri" w:eastAsia="Calibri" w:hAnsi="Calibri" w:cs="Calibri"/>
        </w:rPr>
        <w:t xml:space="preserve"> with different transport work units. However, currently EEOI data is only available for voyages into and out of the EU. This means that ships which sail on voyages between China and the US, a major trade route, would not be captured. </w:t>
      </w:r>
    </w:p>
    <w:p w14:paraId="000001C1" w14:textId="77777777" w:rsidR="001E40A1" w:rsidRDefault="001E40A1"/>
    <w:p w14:paraId="000001C2" w14:textId="77777777" w:rsidR="001E40A1" w:rsidRDefault="007A0446">
      <w:pPr>
        <w:keepNext/>
        <w:pBdr>
          <w:top w:val="nil"/>
          <w:left w:val="nil"/>
          <w:bottom w:val="nil"/>
          <w:right w:val="nil"/>
          <w:between w:val="nil"/>
        </w:pBdr>
        <w:spacing w:after="200"/>
        <w:rPr>
          <w:rFonts w:ascii="Calibri" w:eastAsia="Calibri" w:hAnsi="Calibri" w:cs="Calibri"/>
          <w:b/>
          <w:color w:val="000000"/>
        </w:rPr>
      </w:pPr>
      <w:r>
        <w:rPr>
          <w:rFonts w:ascii="Calibri" w:eastAsia="Calibri" w:hAnsi="Calibri" w:cs="Calibri"/>
          <w:b/>
          <w:color w:val="000000"/>
        </w:rPr>
        <w:t>Table 7. Comparison</w:t>
      </w:r>
      <w:r>
        <w:rPr>
          <w:rFonts w:ascii="Calibri" w:eastAsia="Calibri" w:hAnsi="Calibri" w:cs="Calibri"/>
          <w:b/>
          <w:color w:val="000000"/>
        </w:rPr>
        <w:t xml:space="preserve"> of different metrics for measuring emissions performance. </w:t>
      </w:r>
    </w:p>
    <w:tbl>
      <w:tblPr>
        <w:tblStyle w:val="a3"/>
        <w:tblW w:w="9771" w:type="dxa"/>
        <w:tblLayout w:type="fixed"/>
        <w:tblLook w:val="0400" w:firstRow="0" w:lastRow="0" w:firstColumn="0" w:lastColumn="0" w:noHBand="0" w:noVBand="1"/>
      </w:tblPr>
      <w:tblGrid>
        <w:gridCol w:w="2400"/>
        <w:gridCol w:w="1985"/>
        <w:gridCol w:w="1984"/>
        <w:gridCol w:w="1559"/>
        <w:gridCol w:w="1843"/>
      </w:tblGrid>
      <w:tr w:rsidR="001E40A1" w14:paraId="5882E8CC" w14:textId="77777777">
        <w:trPr>
          <w:trHeight w:val="15"/>
        </w:trPr>
        <w:tc>
          <w:tcPr>
            <w:tcW w:w="24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00001C3" w14:textId="77777777" w:rsidR="001E40A1" w:rsidRDefault="007A0446">
            <w:pPr>
              <w:rPr>
                <w:rFonts w:ascii="Calibri" w:eastAsia="Calibri" w:hAnsi="Calibri" w:cs="Calibri"/>
              </w:rPr>
            </w:pPr>
            <w:r>
              <w:rPr>
                <w:rFonts w:ascii="Calibri" w:eastAsia="Calibri" w:hAnsi="Calibri" w:cs="Calibri"/>
              </w:rPr>
              <w:t>Metric</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00001C4" w14:textId="77777777" w:rsidR="001E40A1" w:rsidRDefault="007A0446">
            <w:pPr>
              <w:rPr>
                <w:rFonts w:ascii="Calibri" w:eastAsia="Calibri" w:hAnsi="Calibri" w:cs="Calibri"/>
              </w:rPr>
            </w:pPr>
            <w:r>
              <w:rPr>
                <w:rFonts w:ascii="Calibri" w:eastAsia="Calibri" w:hAnsi="Calibri" w:cs="Calibri"/>
              </w:rPr>
              <w:t>Enables comparison of ships with different operational production units</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Pr>
          <w:p w14:paraId="000001C5" w14:textId="77777777" w:rsidR="001E40A1" w:rsidRDefault="007A0446">
            <w:pPr>
              <w:ind w:left="113" w:right="113"/>
              <w:rPr>
                <w:rFonts w:ascii="Calibri" w:eastAsia="Calibri" w:hAnsi="Calibri" w:cs="Calibri"/>
              </w:rPr>
            </w:pPr>
            <w:r>
              <w:rPr>
                <w:rFonts w:ascii="Calibri" w:eastAsia="Calibri" w:hAnsi="Calibri" w:cs="Calibri"/>
              </w:rPr>
              <w:t xml:space="preserve">Can measure all GHG emissions of ships in real operating conditions </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14:paraId="000001C6" w14:textId="77777777" w:rsidR="001E40A1" w:rsidRDefault="007A0446">
            <w:pPr>
              <w:ind w:left="113" w:right="113"/>
              <w:rPr>
                <w:rFonts w:ascii="Calibri" w:eastAsia="Calibri" w:hAnsi="Calibri" w:cs="Calibri"/>
              </w:rPr>
            </w:pPr>
            <w:r>
              <w:rPr>
                <w:rFonts w:ascii="Calibri" w:eastAsia="Calibri" w:hAnsi="Calibri" w:cs="Calibri"/>
              </w:rPr>
              <w:t xml:space="preserve">Data available at global level for all ships </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Pr>
          <w:p w14:paraId="000001C7" w14:textId="77777777" w:rsidR="001E40A1" w:rsidRDefault="007A0446">
            <w:pPr>
              <w:ind w:left="113" w:right="113"/>
              <w:rPr>
                <w:rFonts w:ascii="Calibri" w:eastAsia="Calibri" w:hAnsi="Calibri" w:cs="Calibri"/>
              </w:rPr>
            </w:pPr>
            <w:r>
              <w:rPr>
                <w:rFonts w:ascii="Calibri" w:eastAsia="Calibri" w:hAnsi="Calibri" w:cs="Calibri"/>
              </w:rPr>
              <w:t xml:space="preserve">Can be aligned with IMO’s Initial Strategy absolute GHG emissions reduction objective </w:t>
            </w:r>
          </w:p>
        </w:tc>
      </w:tr>
      <w:tr w:rsidR="001E40A1" w14:paraId="4CC648C2" w14:textId="77777777">
        <w:trPr>
          <w:trHeight w:val="60"/>
        </w:trPr>
        <w:tc>
          <w:tcPr>
            <w:tcW w:w="2400"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vAlign w:val="center"/>
          </w:tcPr>
          <w:p w14:paraId="000001C8"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Absolute Emissions</w:t>
            </w:r>
          </w:p>
        </w:tc>
        <w:tc>
          <w:tcPr>
            <w:tcW w:w="1985"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vAlign w:val="center"/>
          </w:tcPr>
          <w:p w14:paraId="000001C9"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p>
        </w:tc>
        <w:tc>
          <w:tcPr>
            <w:tcW w:w="1984" w:type="dxa"/>
            <w:tcBorders>
              <w:top w:val="single" w:sz="24" w:space="0" w:color="FFFFFF"/>
              <w:left w:val="single" w:sz="8" w:space="0" w:color="FFFFFF"/>
              <w:bottom w:val="single" w:sz="8" w:space="0" w:color="FFFFFF"/>
              <w:right w:val="single" w:sz="8" w:space="0" w:color="FFFFFF"/>
            </w:tcBorders>
            <w:shd w:val="clear" w:color="auto" w:fill="D9E2F3"/>
            <w:vAlign w:val="center"/>
          </w:tcPr>
          <w:p w14:paraId="000001CA"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1"/>
                <w:id w:val="1649629389"/>
              </w:sdtPr>
              <w:sdtEndPr/>
              <w:sdtContent>
                <w:r>
                  <w:rPr>
                    <w:rFonts w:ascii="Arial Unicode MS" w:eastAsia="Arial Unicode MS" w:hAnsi="Arial Unicode MS" w:cs="Arial Unicode MS"/>
                    <w:color w:val="000000"/>
                  </w:rPr>
                  <w:t>✓</w:t>
                </w:r>
              </w:sdtContent>
            </w:sdt>
          </w:p>
        </w:tc>
        <w:tc>
          <w:tcPr>
            <w:tcW w:w="1559" w:type="dxa"/>
            <w:tcBorders>
              <w:top w:val="single" w:sz="24" w:space="0" w:color="FFFFFF"/>
              <w:left w:val="single" w:sz="8" w:space="0" w:color="FFFFFF"/>
              <w:bottom w:val="single" w:sz="8" w:space="0" w:color="FFFFFF"/>
              <w:right w:val="single" w:sz="8" w:space="0" w:color="FFFFFF"/>
            </w:tcBorders>
            <w:shd w:val="clear" w:color="auto" w:fill="D9E2F3"/>
            <w:vAlign w:val="center"/>
          </w:tcPr>
          <w:p w14:paraId="000001CB"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2"/>
                <w:id w:val="293567027"/>
              </w:sdtPr>
              <w:sdtEndPr/>
              <w:sdtContent>
                <w:r>
                  <w:rPr>
                    <w:rFonts w:ascii="Arial Unicode MS" w:eastAsia="Arial Unicode MS" w:hAnsi="Arial Unicode MS" w:cs="Arial Unicode MS"/>
                    <w:color w:val="000000"/>
                  </w:rPr>
                  <w:t>✓</w:t>
                </w:r>
              </w:sdtContent>
            </w:sdt>
          </w:p>
        </w:tc>
        <w:tc>
          <w:tcPr>
            <w:tcW w:w="1843" w:type="dxa"/>
            <w:tcBorders>
              <w:top w:val="single" w:sz="24" w:space="0" w:color="FFFFFF"/>
              <w:left w:val="single" w:sz="8" w:space="0" w:color="FFFFFF"/>
              <w:bottom w:val="single" w:sz="8" w:space="0" w:color="FFFFFF"/>
              <w:right w:val="single" w:sz="8" w:space="0" w:color="FFFFFF"/>
            </w:tcBorders>
            <w:shd w:val="clear" w:color="auto" w:fill="D9E2F3"/>
            <w:vAlign w:val="center"/>
          </w:tcPr>
          <w:p w14:paraId="000001CC"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3"/>
                <w:id w:val="1273906720"/>
              </w:sdtPr>
              <w:sdtEndPr/>
              <w:sdtContent>
                <w:r>
                  <w:rPr>
                    <w:rFonts w:ascii="Arial Unicode MS" w:eastAsia="Arial Unicode MS" w:hAnsi="Arial Unicode MS" w:cs="Arial Unicode MS"/>
                    <w:color w:val="000000"/>
                  </w:rPr>
                  <w:t>✓</w:t>
                </w:r>
              </w:sdtContent>
            </w:sdt>
          </w:p>
        </w:tc>
      </w:tr>
      <w:tr w:rsidR="001E40A1" w14:paraId="110D2746" w14:textId="77777777">
        <w:trPr>
          <w:trHeight w:val="24"/>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00001CD"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As-designed technical efficiency (EEDI)</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00001CE"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4"/>
                <w:id w:val="-607965833"/>
              </w:sdtPr>
              <w:sdtEndPr/>
              <w:sdtContent>
                <w:r>
                  <w:rPr>
                    <w:rFonts w:ascii="Arial Unicode MS" w:eastAsia="Arial Unicode MS" w:hAnsi="Arial Unicode MS" w:cs="Arial Unicode MS"/>
                    <w:color w:val="000000"/>
                  </w:rPr>
                  <w:t>✓</w:t>
                </w:r>
              </w:sdtContent>
            </w:sdt>
          </w:p>
        </w:tc>
        <w:tc>
          <w:tcPr>
            <w:tcW w:w="19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00001CF"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p>
        </w:tc>
        <w:tc>
          <w:tcPr>
            <w:tcW w:w="1559"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00001D0"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5"/>
                <w:id w:val="-1930963930"/>
              </w:sdtPr>
              <w:sdtEndPr/>
              <w:sdtContent>
                <w:r>
                  <w:rPr>
                    <w:rFonts w:ascii="Arial Unicode MS" w:eastAsia="Arial Unicode MS" w:hAnsi="Arial Unicode MS" w:cs="Arial Unicode MS"/>
                    <w:color w:val="000000"/>
                  </w:rPr>
                  <w:t>✓</w:t>
                </w:r>
              </w:sdtContent>
            </w:sdt>
          </w:p>
        </w:tc>
        <w:tc>
          <w:tcPr>
            <w:tcW w:w="184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00001D1"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p>
        </w:tc>
      </w:tr>
      <w:tr w:rsidR="001E40A1" w14:paraId="327D7248" w14:textId="77777777">
        <w:trPr>
          <w:trHeight w:val="128"/>
        </w:trPr>
        <w:tc>
          <w:tcPr>
            <w:tcW w:w="2400"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vAlign w:val="center"/>
          </w:tcPr>
          <w:p w14:paraId="000001D2"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Technical efficiency at a point in time (EVDI)</w:t>
            </w:r>
          </w:p>
        </w:tc>
        <w:tc>
          <w:tcPr>
            <w:tcW w:w="1985"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vAlign w:val="center"/>
          </w:tcPr>
          <w:p w14:paraId="000001D3"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6"/>
                <w:id w:val="-2125452174"/>
              </w:sdtPr>
              <w:sdtEndPr/>
              <w:sdtContent>
                <w:r>
                  <w:rPr>
                    <w:rFonts w:ascii="Arial Unicode MS" w:eastAsia="Arial Unicode MS" w:hAnsi="Arial Unicode MS" w:cs="Arial Unicode MS"/>
                    <w:color w:val="000000"/>
                  </w:rPr>
                  <w:t>✓</w:t>
                </w:r>
              </w:sdtContent>
            </w:sdt>
          </w:p>
        </w:tc>
        <w:tc>
          <w:tcPr>
            <w:tcW w:w="1984"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00001D4"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p>
        </w:tc>
        <w:tc>
          <w:tcPr>
            <w:tcW w:w="1559"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00001D5"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7"/>
                <w:id w:val="1846828196"/>
              </w:sdtPr>
              <w:sdtEndPr/>
              <w:sdtContent>
                <w:r>
                  <w:rPr>
                    <w:rFonts w:ascii="Arial Unicode MS" w:eastAsia="Arial Unicode MS" w:hAnsi="Arial Unicode MS" w:cs="Arial Unicode MS"/>
                    <w:color w:val="000000"/>
                  </w:rPr>
                  <w:t>✓</w:t>
                </w:r>
              </w:sdtContent>
            </w:sdt>
          </w:p>
        </w:tc>
        <w:tc>
          <w:tcPr>
            <w:tcW w:w="1843"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00001D6"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p>
        </w:tc>
      </w:tr>
      <w:tr w:rsidR="001E40A1" w14:paraId="5F3250A5" w14:textId="77777777">
        <w:trPr>
          <w:trHeight w:val="235"/>
        </w:trPr>
        <w:tc>
          <w:tcPr>
            <w:tcW w:w="24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00001D7"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Annual Efficiency Ratio (AER)</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14:paraId="000001D8"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r>
              <w:rPr>
                <w:rFonts w:ascii="Calibri" w:eastAsia="Calibri" w:hAnsi="Calibri" w:cs="Calibri"/>
                <w:color w:val="000000"/>
              </w:rPr>
              <w:t>Via proxy for transport work</w:t>
            </w:r>
          </w:p>
        </w:tc>
        <w:tc>
          <w:tcPr>
            <w:tcW w:w="1984"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00001D9"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8"/>
                <w:id w:val="590055498"/>
              </w:sdtPr>
              <w:sdtEndPr/>
              <w:sdtContent>
                <w:r>
                  <w:rPr>
                    <w:rFonts w:ascii="Arial Unicode MS" w:eastAsia="Arial Unicode MS" w:hAnsi="Arial Unicode MS" w:cs="Arial Unicode MS"/>
                    <w:color w:val="000000"/>
                  </w:rPr>
                  <w:t>✓</w:t>
                </w:r>
              </w:sdtContent>
            </w:sdt>
          </w:p>
        </w:tc>
        <w:tc>
          <w:tcPr>
            <w:tcW w:w="1559"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00001DA"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9"/>
                <w:id w:val="-901600717"/>
              </w:sdtPr>
              <w:sdtEndPr/>
              <w:sdtContent>
                <w:r>
                  <w:rPr>
                    <w:rFonts w:ascii="Arial Unicode MS" w:eastAsia="Arial Unicode MS" w:hAnsi="Arial Unicode MS" w:cs="Arial Unicode MS"/>
                    <w:color w:val="000000"/>
                  </w:rPr>
                  <w:t>✓</w:t>
                </w:r>
              </w:sdtContent>
            </w:sdt>
          </w:p>
        </w:tc>
        <w:tc>
          <w:tcPr>
            <w:tcW w:w="1843" w:type="dxa"/>
            <w:tcBorders>
              <w:top w:val="single" w:sz="8" w:space="0" w:color="FFFFFF"/>
              <w:left w:val="single" w:sz="8" w:space="0" w:color="FFFFFF"/>
              <w:bottom w:val="single" w:sz="8" w:space="0" w:color="FFFFFF"/>
              <w:right w:val="single" w:sz="8" w:space="0" w:color="FFFFFF"/>
            </w:tcBorders>
            <w:shd w:val="clear" w:color="auto" w:fill="E9EDF4"/>
            <w:vAlign w:val="center"/>
          </w:tcPr>
          <w:p w14:paraId="000001DB"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r>
              <w:rPr>
                <w:rFonts w:ascii="Calibri" w:eastAsia="Calibri" w:hAnsi="Calibri" w:cs="Calibri"/>
                <w:color w:val="000000"/>
              </w:rPr>
              <w:t>Via proxy for actual carbon intensity</w:t>
            </w:r>
          </w:p>
        </w:tc>
      </w:tr>
      <w:tr w:rsidR="001E40A1" w14:paraId="2B8DDC3F" w14:textId="77777777">
        <w:trPr>
          <w:trHeight w:val="51"/>
        </w:trPr>
        <w:tc>
          <w:tcPr>
            <w:tcW w:w="2400"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vAlign w:val="center"/>
          </w:tcPr>
          <w:p w14:paraId="000001DC"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Energy efficiency operational index (EEOI)</w:t>
            </w:r>
          </w:p>
        </w:tc>
        <w:tc>
          <w:tcPr>
            <w:tcW w:w="1985"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vAlign w:val="center"/>
          </w:tcPr>
          <w:p w14:paraId="000001DD"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10"/>
                <w:id w:val="1352221062"/>
              </w:sdtPr>
              <w:sdtEndPr/>
              <w:sdtContent>
                <w:r>
                  <w:rPr>
                    <w:rFonts w:ascii="Arial Unicode MS" w:eastAsia="Arial Unicode MS" w:hAnsi="Arial Unicode MS" w:cs="Arial Unicode MS"/>
                    <w:color w:val="000000"/>
                  </w:rPr>
                  <w:t>✓</w:t>
                </w:r>
              </w:sdtContent>
            </w:sdt>
          </w:p>
        </w:tc>
        <w:tc>
          <w:tcPr>
            <w:tcW w:w="1984"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00001DE"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11"/>
                <w:id w:val="314462160"/>
              </w:sdtPr>
              <w:sdtEndPr/>
              <w:sdtContent>
                <w:r>
                  <w:rPr>
                    <w:rFonts w:ascii="Arial Unicode MS" w:eastAsia="Arial Unicode MS" w:hAnsi="Arial Unicode MS" w:cs="Arial Unicode MS"/>
                    <w:color w:val="000000"/>
                  </w:rPr>
                  <w:t>✓</w:t>
                </w:r>
              </w:sdtContent>
            </w:sdt>
          </w:p>
        </w:tc>
        <w:tc>
          <w:tcPr>
            <w:tcW w:w="1559"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00001DF" w14:textId="77777777" w:rsidR="001E40A1" w:rsidRDefault="001E40A1">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p>
        </w:tc>
        <w:tc>
          <w:tcPr>
            <w:tcW w:w="1843"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00001E0" w14:textId="77777777" w:rsidR="001E40A1" w:rsidRDefault="007A0446">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rPr>
            </w:pPr>
            <w:sdt>
              <w:sdtPr>
                <w:tag w:val="goog_rdk_12"/>
                <w:id w:val="641776664"/>
              </w:sdtPr>
              <w:sdtEndPr/>
              <w:sdtContent>
                <w:r>
                  <w:rPr>
                    <w:rFonts w:ascii="Arial Unicode MS" w:eastAsia="Arial Unicode MS" w:hAnsi="Arial Unicode MS" w:cs="Arial Unicode MS"/>
                    <w:color w:val="000000"/>
                  </w:rPr>
                  <w:t>✓</w:t>
                </w:r>
              </w:sdtContent>
            </w:sdt>
          </w:p>
        </w:tc>
      </w:tr>
    </w:tbl>
    <w:p w14:paraId="000001E1" w14:textId="77777777" w:rsidR="001E40A1" w:rsidRDefault="001E40A1">
      <w:pPr>
        <w:jc w:val="both"/>
        <w:rPr>
          <w:rFonts w:ascii="Calibri" w:eastAsia="Calibri" w:hAnsi="Calibri" w:cs="Calibri"/>
        </w:rPr>
      </w:pPr>
    </w:p>
    <w:p w14:paraId="000001E2" w14:textId="77777777" w:rsidR="001E40A1" w:rsidRDefault="007A0446">
      <w:pPr>
        <w:jc w:val="both"/>
        <w:rPr>
          <w:rFonts w:ascii="Calibri" w:eastAsia="Calibri" w:hAnsi="Calibri" w:cs="Calibri"/>
        </w:rPr>
      </w:pPr>
      <w:r>
        <w:rPr>
          <w:rFonts w:ascii="Calibri" w:eastAsia="Calibri" w:hAnsi="Calibri" w:cs="Calibri"/>
        </w:rPr>
        <w:t xml:space="preserve">On the other hand, AER assumes that ships are 100% utilised (i.e., fully loaded on all miles travelled) which is often not the case (e.g., ships are not loaded to 100% of their DWT and ballasts are emptied after unloading, especially in the tanker and dry </w:t>
      </w:r>
      <w:r>
        <w:rPr>
          <w:rFonts w:ascii="Calibri" w:eastAsia="Calibri" w:hAnsi="Calibri" w:cs="Calibri"/>
        </w:rPr>
        <w:t>bulk carrier trades). However, there will be global data coverage of AER starting in 2020 as a result of the IMO DCS regulation. AER can be used assuming 100% cargo utilization, as long as the decarbonisation trajectory is also constructed with the same 10</w:t>
      </w:r>
      <w:r>
        <w:rPr>
          <w:rFonts w:ascii="Calibri" w:eastAsia="Calibri" w:hAnsi="Calibri" w:cs="Calibri"/>
        </w:rPr>
        <w:t>0% cargo utilization assumption. Alternatively, AER (and the decarbonisation trajectory) can be calculated with an assumed default value for cargo utilization (e.g. 60%). Data for each ship size/type will be available in Fourth IMO GHG Study up to 2018. Th</w:t>
      </w:r>
      <w:r>
        <w:rPr>
          <w:rFonts w:ascii="Calibri" w:eastAsia="Calibri" w:hAnsi="Calibri" w:cs="Calibri"/>
        </w:rPr>
        <w:t>e assumed default value for cargo utilization for each ship size/type shall be revisited on a biennial basis, to shift with potential shifts in market dynamics.</w:t>
      </w:r>
    </w:p>
    <w:p w14:paraId="000001E3" w14:textId="77777777" w:rsidR="001E40A1" w:rsidRDefault="001E40A1">
      <w:pPr>
        <w:jc w:val="both"/>
        <w:rPr>
          <w:rFonts w:ascii="Calibri" w:eastAsia="Calibri" w:hAnsi="Calibri" w:cs="Calibri"/>
        </w:rPr>
      </w:pPr>
    </w:p>
    <w:p w14:paraId="000001E4" w14:textId="77777777" w:rsidR="001E40A1" w:rsidRDefault="007A0446">
      <w:pPr>
        <w:jc w:val="both"/>
        <w:rPr>
          <w:rFonts w:ascii="Calibri" w:eastAsia="Calibri" w:hAnsi="Calibri" w:cs="Calibri"/>
        </w:rPr>
      </w:pPr>
      <w:r>
        <w:rPr>
          <w:rFonts w:ascii="Calibri" w:eastAsia="Calibri" w:hAnsi="Calibri" w:cs="Calibri"/>
        </w:rPr>
        <w:t>We propose to take forwards both EEOI and AER with estimated utilization from published source</w:t>
      </w:r>
      <w:r>
        <w:rPr>
          <w:rFonts w:ascii="Calibri" w:eastAsia="Calibri" w:hAnsi="Calibri" w:cs="Calibri"/>
        </w:rPr>
        <w:t>s (“</w:t>
      </w:r>
      <w:r>
        <w:rPr>
          <w:rFonts w:ascii="Calibri" w:eastAsia="Calibri" w:hAnsi="Calibri" w:cs="Calibri"/>
          <w:b/>
        </w:rPr>
        <w:t>adjusted AER</w:t>
      </w:r>
      <w:r>
        <w:rPr>
          <w:rFonts w:ascii="Calibri" w:eastAsia="Calibri" w:hAnsi="Calibri" w:cs="Calibri"/>
        </w:rPr>
        <w:t xml:space="preserve">”) metrics. If the vessel is expected to trade 100% of the time on voyages that are within the EU, the issuer must report EEOI data. Otherwise, the issuer needs to report IMO DCS data that enable the AER calculation, or can opt in to being </w:t>
      </w:r>
      <w:r>
        <w:rPr>
          <w:rFonts w:ascii="Calibri" w:eastAsia="Calibri" w:hAnsi="Calibri" w:cs="Calibri"/>
        </w:rPr>
        <w:t>measured on EEOI data, but in that event will need to enable an additional verification step (to validate the cargo mass data required for the EEOI calculation which is not covered in the IMO DCS system). Issuers shall have the right to provide verified da</w:t>
      </w:r>
      <w:r>
        <w:rPr>
          <w:rFonts w:ascii="Calibri" w:eastAsia="Calibri" w:hAnsi="Calibri" w:cs="Calibri"/>
        </w:rPr>
        <w:t xml:space="preserve">ta on actual cargo utilization for a specific ship, in an effort to incentivize transparency as well as properly incentivize businesses that have better asset utilization. </w:t>
      </w:r>
    </w:p>
    <w:p w14:paraId="000001E5" w14:textId="77777777" w:rsidR="001E40A1" w:rsidRDefault="001E40A1">
      <w:pPr>
        <w:rPr>
          <w:rFonts w:ascii="Calibri" w:eastAsia="Calibri" w:hAnsi="Calibri" w:cs="Calibri"/>
        </w:rPr>
      </w:pPr>
    </w:p>
    <w:p w14:paraId="000001E6" w14:textId="77777777" w:rsidR="001E40A1" w:rsidRDefault="007A0446">
      <w:pPr>
        <w:pStyle w:val="Heading3"/>
        <w:numPr>
          <w:ilvl w:val="2"/>
          <w:numId w:val="2"/>
        </w:numPr>
        <w:rPr>
          <w:rFonts w:ascii="Calibri" w:eastAsia="Calibri" w:hAnsi="Calibri" w:cs="Calibri"/>
        </w:rPr>
      </w:pPr>
      <w:bookmarkStart w:id="34" w:name="_heading=h.ihv636" w:colFirst="0" w:colLast="0"/>
      <w:bookmarkEnd w:id="34"/>
      <w:r>
        <w:rPr>
          <w:rFonts w:ascii="Calibri" w:eastAsia="Calibri" w:hAnsi="Calibri" w:cs="Calibri"/>
        </w:rPr>
        <w:t>VERIFICATION OF DATA FROM IMO DCS AND EU MRV</w:t>
      </w:r>
    </w:p>
    <w:p w14:paraId="000001E7" w14:textId="77777777" w:rsidR="001E40A1" w:rsidRDefault="001E40A1">
      <w:pPr>
        <w:rPr>
          <w:rFonts w:ascii="Calibri" w:eastAsia="Calibri" w:hAnsi="Calibri" w:cs="Calibri"/>
        </w:rPr>
      </w:pPr>
    </w:p>
    <w:p w14:paraId="000001E8" w14:textId="77777777" w:rsidR="001E40A1" w:rsidRDefault="007A0446">
      <w:pPr>
        <w:jc w:val="both"/>
        <w:rPr>
          <w:rFonts w:ascii="Calibri" w:eastAsia="Calibri" w:hAnsi="Calibri" w:cs="Calibri"/>
        </w:rPr>
      </w:pPr>
      <w:r>
        <w:rPr>
          <w:rFonts w:ascii="Calibri" w:eastAsia="Calibri" w:hAnsi="Calibri" w:cs="Calibri"/>
        </w:rPr>
        <w:t>The EU MRV Regulation requires manda</w:t>
      </w:r>
      <w:r>
        <w:rPr>
          <w:rFonts w:ascii="Calibri" w:eastAsia="Calibri" w:hAnsi="Calibri" w:cs="Calibri"/>
        </w:rPr>
        <w:t>tory third-party verification in order to ensure the accuracy of the data submitted. It uses a specific verification system based on internationally agreed ISO standards and EU specific verification rules. In the IMO DCS there is no specific verification s</w:t>
      </w:r>
      <w:r>
        <w:rPr>
          <w:rFonts w:ascii="Calibri" w:eastAsia="Calibri" w:hAnsi="Calibri" w:cs="Calibri"/>
        </w:rPr>
        <w:t xml:space="preserve">ystem for this data collection. Instead, flag </w:t>
      </w:r>
      <w:r>
        <w:rPr>
          <w:rFonts w:ascii="Calibri" w:eastAsia="Calibri" w:hAnsi="Calibri" w:cs="Calibri"/>
        </w:rPr>
        <w:lastRenderedPageBreak/>
        <w:t>Administrations shall verify the data according to national rules, taking into account 30 IMO guidelines. Flag States can outsource those tasks to “Recognised Organizations” (RO), subject to verifications and a</w:t>
      </w:r>
      <w:r>
        <w:rPr>
          <w:rFonts w:ascii="Calibri" w:eastAsia="Calibri" w:hAnsi="Calibri" w:cs="Calibri"/>
        </w:rPr>
        <w:t>udits under the RO Code. However, ROs do not need to be accredited by National Accreditation Bodies. Note that, in accordance with the EU legislation, EU MS have to use only EU recognised organisations in order to comply with their reporting obligations un</w:t>
      </w:r>
      <w:r>
        <w:rPr>
          <w:rFonts w:ascii="Calibri" w:eastAsia="Calibri" w:hAnsi="Calibri" w:cs="Calibri"/>
        </w:rPr>
        <w:t>der IMO DCS.</w:t>
      </w:r>
    </w:p>
    <w:p w14:paraId="000001E9" w14:textId="77777777" w:rsidR="001E40A1" w:rsidRDefault="001E40A1">
      <w:pPr>
        <w:jc w:val="both"/>
        <w:rPr>
          <w:rFonts w:ascii="Calibri" w:eastAsia="Calibri" w:hAnsi="Calibri" w:cs="Calibri"/>
          <w:b/>
        </w:rPr>
      </w:pPr>
    </w:p>
    <w:p w14:paraId="000001EA" w14:textId="77777777" w:rsidR="001E40A1" w:rsidRDefault="007A0446">
      <w:pPr>
        <w:jc w:val="both"/>
        <w:rPr>
          <w:rFonts w:ascii="Calibri" w:eastAsia="Calibri" w:hAnsi="Calibri" w:cs="Calibri"/>
        </w:rPr>
      </w:pPr>
      <w:r>
        <w:rPr>
          <w:rFonts w:ascii="Calibri" w:eastAsia="Calibri" w:hAnsi="Calibri" w:cs="Calibri"/>
          <w:b/>
        </w:rPr>
        <w:t>In order to meet Climate Bonds Certification requirements, issuers are required to submit information reported on an annual basis of their achieved EEOI or AER, alongside evidence that the data was also submitted and verified for EU/IMO purpo</w:t>
      </w:r>
      <w:r>
        <w:rPr>
          <w:rFonts w:ascii="Calibri" w:eastAsia="Calibri" w:hAnsi="Calibri" w:cs="Calibri"/>
          <w:b/>
        </w:rPr>
        <w:t xml:space="preserve">ses. </w:t>
      </w:r>
    </w:p>
    <w:p w14:paraId="000001EB" w14:textId="77777777" w:rsidR="001E40A1" w:rsidRDefault="001E40A1">
      <w:pPr>
        <w:rPr>
          <w:rFonts w:ascii="Calibri" w:eastAsia="Calibri" w:hAnsi="Calibri" w:cs="Calibri"/>
        </w:rPr>
      </w:pPr>
    </w:p>
    <w:p w14:paraId="000001EC" w14:textId="77777777" w:rsidR="001E40A1" w:rsidRDefault="007A0446">
      <w:pPr>
        <w:pStyle w:val="Heading3"/>
        <w:numPr>
          <w:ilvl w:val="2"/>
          <w:numId w:val="2"/>
        </w:numPr>
        <w:rPr>
          <w:rFonts w:ascii="Calibri" w:eastAsia="Calibri" w:hAnsi="Calibri" w:cs="Calibri"/>
        </w:rPr>
      </w:pPr>
      <w:bookmarkStart w:id="35" w:name="_heading=h.32hioqz" w:colFirst="0" w:colLast="0"/>
      <w:bookmarkEnd w:id="35"/>
      <w:r>
        <w:rPr>
          <w:rFonts w:ascii="Calibri" w:eastAsia="Calibri" w:hAnsi="Calibri" w:cs="Calibri"/>
        </w:rPr>
        <w:t>Port infrastructure compatibility</w:t>
      </w:r>
    </w:p>
    <w:p w14:paraId="000001ED" w14:textId="77777777" w:rsidR="001E40A1" w:rsidRDefault="001E40A1">
      <w:pPr>
        <w:rPr>
          <w:rFonts w:ascii="Calibri" w:eastAsia="Calibri" w:hAnsi="Calibri" w:cs="Calibri"/>
        </w:rPr>
      </w:pPr>
    </w:p>
    <w:p w14:paraId="000001EE" w14:textId="77777777" w:rsidR="001E40A1" w:rsidRDefault="007A0446">
      <w:pPr>
        <w:jc w:val="both"/>
        <w:rPr>
          <w:rFonts w:ascii="Calibri" w:eastAsia="Calibri" w:hAnsi="Calibri" w:cs="Calibri"/>
        </w:rPr>
      </w:pPr>
      <w:r>
        <w:rPr>
          <w:rFonts w:ascii="Calibri" w:eastAsia="Calibri" w:hAnsi="Calibri" w:cs="Calibri"/>
        </w:rPr>
        <w:t>As discussed in Section 3.2, fuel and energy (i.e., electricity) is required to reduce the carbon-equivalent intensity of the global fleet. This needs to be supported by the availability of bunker fuels and energy to power ships. For example, infrastructur</w:t>
      </w:r>
      <w:r>
        <w:rPr>
          <w:rFonts w:ascii="Calibri" w:eastAsia="Calibri" w:hAnsi="Calibri" w:cs="Calibri"/>
        </w:rPr>
        <w:t xml:space="preserve">e that supports the supply of hydrogen, biofuel, ammonia and renewable electricity is considered compatible. This does not include infrastructure that is used to deliver LNG.  </w:t>
      </w:r>
    </w:p>
    <w:p w14:paraId="000001EF" w14:textId="77777777" w:rsidR="001E40A1" w:rsidRDefault="001E40A1">
      <w:pPr>
        <w:rPr>
          <w:rFonts w:ascii="Calibri" w:eastAsia="Calibri" w:hAnsi="Calibri" w:cs="Calibri"/>
        </w:rPr>
      </w:pPr>
    </w:p>
    <w:p w14:paraId="000001F0" w14:textId="77777777" w:rsidR="001E40A1" w:rsidRDefault="007A0446">
      <w:pPr>
        <w:pStyle w:val="Heading2"/>
        <w:numPr>
          <w:ilvl w:val="1"/>
          <w:numId w:val="2"/>
        </w:numPr>
        <w:rPr>
          <w:rFonts w:ascii="Calibri" w:eastAsia="Calibri" w:hAnsi="Calibri" w:cs="Calibri"/>
          <w:sz w:val="20"/>
          <w:szCs w:val="20"/>
        </w:rPr>
      </w:pPr>
      <w:bookmarkStart w:id="36" w:name="_heading=h.1hmsyys" w:colFirst="0" w:colLast="0"/>
      <w:bookmarkEnd w:id="36"/>
      <w:r>
        <w:rPr>
          <w:rFonts w:ascii="Calibri" w:eastAsia="Calibri" w:hAnsi="Calibri" w:cs="Calibri"/>
          <w:sz w:val="20"/>
          <w:szCs w:val="20"/>
        </w:rPr>
        <w:t>Criteria for assessing asset eligibility with respect to mitigation requiremen</w:t>
      </w:r>
      <w:r>
        <w:rPr>
          <w:rFonts w:ascii="Calibri" w:eastAsia="Calibri" w:hAnsi="Calibri" w:cs="Calibri"/>
          <w:sz w:val="20"/>
          <w:szCs w:val="20"/>
        </w:rPr>
        <w:t>ts</w:t>
      </w:r>
    </w:p>
    <w:p w14:paraId="000001F1" w14:textId="77777777" w:rsidR="001E40A1" w:rsidRDefault="001E40A1">
      <w:pPr>
        <w:rPr>
          <w:rFonts w:ascii="Calibri" w:eastAsia="Calibri" w:hAnsi="Calibri" w:cs="Calibri"/>
        </w:rPr>
      </w:pPr>
    </w:p>
    <w:p w14:paraId="000001F2" w14:textId="77777777" w:rsidR="001E40A1" w:rsidRDefault="007A0446">
      <w:pPr>
        <w:jc w:val="both"/>
        <w:rPr>
          <w:rFonts w:ascii="Calibri" w:eastAsia="Calibri" w:hAnsi="Calibri" w:cs="Calibri"/>
        </w:rPr>
      </w:pPr>
      <w:r>
        <w:rPr>
          <w:rFonts w:ascii="Calibri" w:eastAsia="Calibri" w:hAnsi="Calibri" w:cs="Calibri"/>
        </w:rPr>
        <w:t>The shipping sector is amongst the sectors labelled “harder-to-abate.”</w:t>
      </w:r>
      <w:r>
        <w:rPr>
          <w:rFonts w:ascii="Calibri" w:eastAsia="Calibri" w:hAnsi="Calibri" w:cs="Calibri"/>
          <w:color w:val="000000"/>
          <w:vertAlign w:val="superscript"/>
        </w:rPr>
        <w:footnoteReference w:id="37"/>
      </w:r>
      <w:r>
        <w:rPr>
          <w:rFonts w:ascii="Calibri" w:eastAsia="Calibri" w:hAnsi="Calibri" w:cs="Calibri"/>
        </w:rPr>
        <w:t xml:space="preserve"> In these sectors, the development of technologies required to achieve decarbonisation is in progress but are either not widely available, not used (because of market barriers and </w:t>
      </w:r>
      <w:r>
        <w:rPr>
          <w:rFonts w:ascii="Calibri" w:eastAsia="Calibri" w:hAnsi="Calibri" w:cs="Calibri"/>
        </w:rPr>
        <w:t>failures preventing take-up</w:t>
      </w:r>
      <w:r>
        <w:rPr>
          <w:rFonts w:ascii="Calibri" w:eastAsia="Calibri" w:hAnsi="Calibri" w:cs="Calibri"/>
          <w:color w:val="000000"/>
          <w:vertAlign w:val="superscript"/>
        </w:rPr>
        <w:footnoteReference w:id="38"/>
      </w:r>
      <w:r>
        <w:rPr>
          <w:rFonts w:ascii="Calibri" w:eastAsia="Calibri" w:hAnsi="Calibri" w:cs="Calibri"/>
        </w:rPr>
        <w:t>), or still need to reach commercial viability. As ships and port infrastructure typically have asset lives measured in decades (e.g. many ships are designed for 25-30 years of operation), the technology onboard a ship today co</w:t>
      </w:r>
      <w:r>
        <w:rPr>
          <w:rFonts w:ascii="Calibri" w:eastAsia="Calibri" w:hAnsi="Calibri" w:cs="Calibri"/>
        </w:rPr>
        <w:t xml:space="preserve">uld create a “lock-in effect” if there are no cost-effective solutions to meet future targets (e.g., by investing in new technologies that convert the ship to use zero carbon fuels or ensuring availability of fuel at ports). The following sections discuss </w:t>
      </w:r>
      <w:r>
        <w:rPr>
          <w:rFonts w:ascii="Calibri" w:eastAsia="Calibri" w:hAnsi="Calibri" w:cs="Calibri"/>
        </w:rPr>
        <w:t xml:space="preserve">the recommendations for ensuring a ship can cost-effectively meet future targets. </w:t>
      </w:r>
    </w:p>
    <w:p w14:paraId="000001F3" w14:textId="77777777" w:rsidR="001E40A1" w:rsidRDefault="001E40A1">
      <w:pPr>
        <w:jc w:val="both"/>
        <w:rPr>
          <w:rFonts w:ascii="Calibri" w:eastAsia="Calibri" w:hAnsi="Calibri" w:cs="Calibri"/>
        </w:rPr>
      </w:pPr>
    </w:p>
    <w:p w14:paraId="000001F4" w14:textId="77777777" w:rsidR="001E40A1" w:rsidRDefault="007A0446">
      <w:pPr>
        <w:jc w:val="both"/>
        <w:rPr>
          <w:rFonts w:ascii="Calibri" w:eastAsia="Calibri" w:hAnsi="Calibri" w:cs="Calibri"/>
        </w:rPr>
      </w:pPr>
      <w:r>
        <w:rPr>
          <w:rFonts w:ascii="Calibri" w:eastAsia="Calibri" w:hAnsi="Calibri" w:cs="Calibri"/>
        </w:rPr>
        <w:t>Table 8 summarises the mitigation screening criteria. This requires that assets are designed and specified to be “best in class” today and also compatible with future regul</w:t>
      </w:r>
      <w:r>
        <w:rPr>
          <w:rFonts w:ascii="Calibri" w:eastAsia="Calibri" w:hAnsi="Calibri" w:cs="Calibri"/>
        </w:rPr>
        <w:t>atory and technological changes that may occur over an asset’s lifetime as the sector transitions to a low carbon sector. Ships include both newbuilds and retrofits to existing ships.</w:t>
      </w:r>
    </w:p>
    <w:p w14:paraId="000001F5" w14:textId="77777777" w:rsidR="001E40A1" w:rsidRDefault="001E40A1">
      <w:pPr>
        <w:rPr>
          <w:rFonts w:ascii="Calibri" w:eastAsia="Calibri" w:hAnsi="Calibri" w:cs="Calibri"/>
        </w:rPr>
      </w:pPr>
    </w:p>
    <w:p w14:paraId="000001F6" w14:textId="77777777" w:rsidR="001E40A1" w:rsidRDefault="007A0446">
      <w:pPr>
        <w:keepNext/>
        <w:pBdr>
          <w:top w:val="nil"/>
          <w:left w:val="nil"/>
          <w:bottom w:val="nil"/>
          <w:right w:val="nil"/>
          <w:between w:val="nil"/>
        </w:pBdr>
        <w:spacing w:after="200"/>
        <w:rPr>
          <w:rFonts w:ascii="Calibri" w:eastAsia="Calibri" w:hAnsi="Calibri" w:cs="Calibri"/>
          <w:b/>
          <w:color w:val="000000"/>
        </w:rPr>
      </w:pPr>
      <w:r>
        <w:rPr>
          <w:rFonts w:ascii="Calibri" w:eastAsia="Calibri" w:hAnsi="Calibri" w:cs="Calibri"/>
          <w:b/>
          <w:color w:val="000000"/>
        </w:rPr>
        <w:t>Table 8: Criteria for establishing eligibility at the point of bond issuance</w:t>
      </w:r>
    </w:p>
    <w:tbl>
      <w:tblPr>
        <w:tblStyle w:val="a4"/>
        <w:tblW w:w="10065" w:type="dxa"/>
        <w:tblInd w:w="-10" w:type="dxa"/>
        <w:tblLayout w:type="fixed"/>
        <w:tblLook w:val="0400" w:firstRow="0" w:lastRow="0" w:firstColumn="0" w:lastColumn="0" w:noHBand="0" w:noVBand="1"/>
      </w:tblPr>
      <w:tblGrid>
        <w:gridCol w:w="1560"/>
        <w:gridCol w:w="8505"/>
      </w:tblGrid>
      <w:tr w:rsidR="001E40A1" w14:paraId="3CB91391" w14:textId="77777777">
        <w:trPr>
          <w:trHeight w:val="195"/>
        </w:trPr>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00001F7" w14:textId="77777777" w:rsidR="001E40A1" w:rsidRDefault="007A0446">
            <w:pPr>
              <w:rPr>
                <w:rFonts w:ascii="Calibri" w:eastAsia="Calibri" w:hAnsi="Calibri" w:cs="Calibri"/>
              </w:rPr>
            </w:pPr>
            <w:r>
              <w:rPr>
                <w:rFonts w:ascii="Calibri" w:eastAsia="Calibri" w:hAnsi="Calibri" w:cs="Calibri"/>
              </w:rPr>
              <w:t>Asset Category</w:t>
            </w:r>
          </w:p>
        </w:tc>
        <w:tc>
          <w:tcPr>
            <w:tcW w:w="85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00001F8" w14:textId="77777777" w:rsidR="001E40A1" w:rsidRDefault="007A0446">
            <w:pPr>
              <w:rPr>
                <w:rFonts w:ascii="Calibri" w:eastAsia="Calibri" w:hAnsi="Calibri" w:cs="Calibri"/>
              </w:rPr>
            </w:pPr>
            <w:r>
              <w:rPr>
                <w:rFonts w:ascii="Calibri" w:eastAsia="Calibri" w:hAnsi="Calibri" w:cs="Calibri"/>
              </w:rPr>
              <w:t>Criteria</w:t>
            </w:r>
          </w:p>
        </w:tc>
      </w:tr>
      <w:tr w:rsidR="001E40A1" w14:paraId="12649224" w14:textId="77777777">
        <w:trPr>
          <w:trHeight w:val="361"/>
        </w:trPr>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001F9" w14:textId="77777777" w:rsidR="001E40A1" w:rsidRDefault="007A0446">
            <w:pPr>
              <w:rPr>
                <w:rFonts w:ascii="Calibri" w:eastAsia="Calibri" w:hAnsi="Calibri" w:cs="Calibri"/>
              </w:rPr>
            </w:pPr>
            <w:r>
              <w:rPr>
                <w:rFonts w:ascii="Calibri" w:eastAsia="Calibri" w:hAnsi="Calibri" w:cs="Calibri"/>
              </w:rPr>
              <w:t>Ships</w:t>
            </w:r>
          </w:p>
        </w:tc>
        <w:tc>
          <w:tcPr>
            <w:tcW w:w="85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001FA" w14:textId="77777777" w:rsidR="001E40A1" w:rsidRDefault="007A0446">
            <w:pPr>
              <w:jc w:val="both"/>
              <w:rPr>
                <w:rFonts w:ascii="Calibri" w:eastAsia="Calibri" w:hAnsi="Calibri" w:cs="Calibri"/>
              </w:rPr>
            </w:pPr>
            <w:r>
              <w:rPr>
                <w:rFonts w:ascii="Calibri" w:eastAsia="Calibri" w:hAnsi="Calibri" w:cs="Calibri"/>
              </w:rPr>
              <w:t>Demonstrate that the expected carbon-equivalent intensity of ship is aligned with the decarbonisation trajectory of the ship’s type/size category (“</w:t>
            </w:r>
            <w:r>
              <w:rPr>
                <w:rFonts w:ascii="Calibri" w:eastAsia="Calibri" w:hAnsi="Calibri" w:cs="Calibri"/>
                <w:b/>
              </w:rPr>
              <w:t>the ship’s</w:t>
            </w:r>
            <w:r>
              <w:rPr>
                <w:rFonts w:ascii="Calibri" w:eastAsia="Calibri" w:hAnsi="Calibri" w:cs="Calibri"/>
              </w:rPr>
              <w:t xml:space="preserve"> </w:t>
            </w:r>
            <w:r>
              <w:rPr>
                <w:rFonts w:ascii="Calibri" w:eastAsia="Calibri" w:hAnsi="Calibri" w:cs="Calibri"/>
                <w:b/>
              </w:rPr>
              <w:t>class</w:t>
            </w:r>
            <w:r>
              <w:rPr>
                <w:rFonts w:ascii="Calibri" w:eastAsia="Calibri" w:hAnsi="Calibri" w:cs="Calibri"/>
              </w:rPr>
              <w:t>”) over the lifetime of the bond. Ships must either be specified to be zero-carbon from the year the bond is issued (i.e., a zero-carbon vessel)</w:t>
            </w:r>
            <w:r>
              <w:rPr>
                <w:rFonts w:ascii="Calibri" w:eastAsia="Calibri" w:hAnsi="Calibri" w:cs="Calibri"/>
                <w:color w:val="000000"/>
                <w:vertAlign w:val="superscript"/>
              </w:rPr>
              <w:footnoteReference w:id="39"/>
            </w:r>
            <w:r>
              <w:rPr>
                <w:rFonts w:ascii="Calibri" w:eastAsia="Calibri" w:hAnsi="Calibri" w:cs="Calibri"/>
              </w:rPr>
              <w:t xml:space="preserve"> or if there is insufficient market penetration (see below) of appropriate technology/fuel, ha</w:t>
            </w:r>
            <w:r>
              <w:rPr>
                <w:rFonts w:ascii="Calibri" w:eastAsia="Calibri" w:hAnsi="Calibri" w:cs="Calibri"/>
              </w:rPr>
              <w:t xml:space="preserve">ve a managed reduction in carbon-equivalent intensity through the lifetime of the bond. </w:t>
            </w:r>
          </w:p>
          <w:p w14:paraId="000001FB" w14:textId="77777777" w:rsidR="001E40A1" w:rsidRDefault="007A0446">
            <w:pPr>
              <w:jc w:val="both"/>
              <w:rPr>
                <w:rFonts w:ascii="Calibri" w:eastAsia="Calibri" w:hAnsi="Calibri" w:cs="Calibri"/>
              </w:rPr>
            </w:pPr>
            <w:bookmarkStart w:id="37" w:name="_heading=h.41mghml" w:colFirst="0" w:colLast="0"/>
            <w:bookmarkEnd w:id="37"/>
            <w:r>
              <w:rPr>
                <w:rFonts w:ascii="Calibri" w:eastAsia="Calibri" w:hAnsi="Calibri" w:cs="Calibri"/>
              </w:rPr>
              <w:t>In cases where the ship is not already zero carbon emissions, the issuer is required to provide a managed reduction plan to show that it is cost-effective to align the</w:t>
            </w:r>
            <w:r>
              <w:rPr>
                <w:rFonts w:ascii="Calibri" w:eastAsia="Calibri" w:hAnsi="Calibri" w:cs="Calibri"/>
              </w:rPr>
              <w:t xml:space="preserve"> ship(s) expected carbon-equivalent intensity with the required intensity for its class(es) over the lifetime of the asset(s). </w:t>
            </w:r>
          </w:p>
        </w:tc>
      </w:tr>
      <w:tr w:rsidR="001E40A1" w14:paraId="3747349D" w14:textId="77777777">
        <w:trPr>
          <w:trHeight w:val="1146"/>
        </w:trPr>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00001FC" w14:textId="77777777" w:rsidR="001E40A1" w:rsidRDefault="007A0446">
            <w:pPr>
              <w:rPr>
                <w:rFonts w:ascii="Calibri" w:eastAsia="Calibri" w:hAnsi="Calibri" w:cs="Calibri"/>
              </w:rPr>
            </w:pPr>
            <w:r>
              <w:rPr>
                <w:rFonts w:ascii="Calibri" w:eastAsia="Calibri" w:hAnsi="Calibri" w:cs="Calibri"/>
              </w:rPr>
              <w:t>Infrastructure</w:t>
            </w:r>
          </w:p>
        </w:tc>
        <w:tc>
          <w:tcPr>
            <w:tcW w:w="85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00001FD" w14:textId="77777777" w:rsidR="001E40A1" w:rsidRDefault="007A0446">
            <w:pPr>
              <w:jc w:val="both"/>
              <w:rPr>
                <w:rFonts w:ascii="Calibri" w:eastAsia="Calibri" w:hAnsi="Calibri" w:cs="Calibri"/>
              </w:rPr>
            </w:pPr>
            <w:r>
              <w:rPr>
                <w:rFonts w:ascii="Calibri" w:eastAsia="Calibri" w:hAnsi="Calibri" w:cs="Calibri"/>
              </w:rPr>
              <w:t>Demonstrate that infrastructure supports the supply of non-fossil fuel/energy in the port (e.g. local battery storage, grid connection, fuel production technologies, fuel storage facilities), supply of non-fossil fuel/energy from the shore to the ship (e.g</w:t>
            </w:r>
            <w:r>
              <w:rPr>
                <w:rFonts w:ascii="Calibri" w:eastAsia="Calibri" w:hAnsi="Calibri" w:cs="Calibri"/>
              </w:rPr>
              <w:t>. shore power connection infrastructure, bunkering infrastructure including bunker barges) or infrastructure to transfer and transport captured emissions from the ship for onwards sequestration.</w:t>
            </w:r>
          </w:p>
        </w:tc>
      </w:tr>
      <w:tr w:rsidR="001E40A1" w14:paraId="41BA3417" w14:textId="77777777">
        <w:trPr>
          <w:trHeight w:val="15"/>
        </w:trPr>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001FE" w14:textId="77777777" w:rsidR="001E40A1" w:rsidRDefault="007A0446">
            <w:pPr>
              <w:rPr>
                <w:rFonts w:ascii="Calibri" w:eastAsia="Calibri" w:hAnsi="Calibri" w:cs="Calibri"/>
              </w:rPr>
            </w:pPr>
            <w:r>
              <w:rPr>
                <w:rFonts w:ascii="Calibri" w:eastAsia="Calibri" w:hAnsi="Calibri" w:cs="Calibri"/>
              </w:rPr>
              <w:lastRenderedPageBreak/>
              <w:t>Programmes</w:t>
            </w:r>
          </w:p>
        </w:tc>
        <w:tc>
          <w:tcPr>
            <w:tcW w:w="85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00001FF" w14:textId="77777777" w:rsidR="001E40A1" w:rsidRDefault="007A0446">
            <w:pPr>
              <w:jc w:val="both"/>
              <w:rPr>
                <w:rFonts w:ascii="Calibri" w:eastAsia="Calibri" w:hAnsi="Calibri" w:cs="Calibri"/>
              </w:rPr>
            </w:pPr>
            <w:r>
              <w:rPr>
                <w:rFonts w:ascii="Calibri" w:eastAsia="Calibri" w:hAnsi="Calibri" w:cs="Calibri"/>
              </w:rPr>
              <w:t>programmes (e.g. retrofit technologies for an exi</w:t>
            </w:r>
            <w:r>
              <w:rPr>
                <w:rFonts w:ascii="Calibri" w:eastAsia="Calibri" w:hAnsi="Calibri" w:cs="Calibri"/>
              </w:rPr>
              <w:t>sting ship or fleet of ships or fleet/port-based initiatives such as speed management) reduce the carbon-equivalent intensity of an existing ship or fleet of existing ships as specified at issuance. A programme enables a ship(s) to be aligned with the deca</w:t>
            </w:r>
            <w:r>
              <w:rPr>
                <w:rFonts w:ascii="Calibri" w:eastAsia="Calibri" w:hAnsi="Calibri" w:cs="Calibri"/>
              </w:rPr>
              <w:t>rbonisation trajectory for the ship or ships’ class(es) throughout its lifetime according to the decarbonisation trajectories of those ships’ classes. In cases where the ship is not already zero carbon  emissions, the issuer is required to provide a manage</w:t>
            </w:r>
            <w:r>
              <w:rPr>
                <w:rFonts w:ascii="Calibri" w:eastAsia="Calibri" w:hAnsi="Calibri" w:cs="Calibri"/>
              </w:rPr>
              <w:t xml:space="preserve">d reduction plan to show that it is cost-effective to align the ship(s) expected carbon-equivalent intensity with the required intensity for its class(es) over the lifetime of the asset(s). </w:t>
            </w:r>
          </w:p>
        </w:tc>
      </w:tr>
    </w:tbl>
    <w:p w14:paraId="00000200" w14:textId="77777777" w:rsidR="001E40A1" w:rsidRDefault="001E40A1">
      <w:pPr>
        <w:rPr>
          <w:rFonts w:ascii="Calibri" w:eastAsia="Calibri" w:hAnsi="Calibri" w:cs="Calibri"/>
        </w:rPr>
      </w:pPr>
    </w:p>
    <w:p w14:paraId="00000201" w14:textId="77777777" w:rsidR="001E40A1" w:rsidRDefault="007A0446">
      <w:pPr>
        <w:pStyle w:val="Heading3"/>
        <w:numPr>
          <w:ilvl w:val="2"/>
          <w:numId w:val="2"/>
        </w:numPr>
        <w:rPr>
          <w:rFonts w:ascii="Calibri" w:eastAsia="Calibri" w:hAnsi="Calibri" w:cs="Calibri"/>
        </w:rPr>
      </w:pPr>
      <w:bookmarkStart w:id="38" w:name="_heading=h.2grqrue" w:colFirst="0" w:colLast="0"/>
      <w:bookmarkEnd w:id="38"/>
      <w:r>
        <w:rPr>
          <w:rFonts w:ascii="Calibri" w:eastAsia="Calibri" w:hAnsi="Calibri" w:cs="Calibri"/>
        </w:rPr>
        <w:t>Background on how assets can ensure compatibility with sector mitigation requirements, given current levels of availability of technologies and associated energy/fuel sources.</w:t>
      </w:r>
    </w:p>
    <w:p w14:paraId="00000202" w14:textId="77777777" w:rsidR="001E40A1" w:rsidRDefault="001E40A1">
      <w:pPr>
        <w:rPr>
          <w:rFonts w:ascii="Calibri" w:eastAsia="Calibri" w:hAnsi="Calibri" w:cs="Calibri"/>
        </w:rPr>
      </w:pPr>
    </w:p>
    <w:p w14:paraId="00000203" w14:textId="77777777" w:rsidR="001E40A1" w:rsidRDefault="007A0446">
      <w:pPr>
        <w:jc w:val="both"/>
        <w:rPr>
          <w:rFonts w:ascii="Calibri" w:eastAsia="Calibri" w:hAnsi="Calibri" w:cs="Calibri"/>
        </w:rPr>
      </w:pPr>
      <w:r>
        <w:rPr>
          <w:rFonts w:ascii="Calibri" w:eastAsia="Calibri" w:hAnsi="Calibri" w:cs="Calibri"/>
        </w:rPr>
        <w:t>In many cases, the technologies and energy/fuel sources that are needed to enab</w:t>
      </w:r>
      <w:r>
        <w:rPr>
          <w:rFonts w:ascii="Calibri" w:eastAsia="Calibri" w:hAnsi="Calibri" w:cs="Calibri"/>
        </w:rPr>
        <w:t>le operation right away at levels of carbon-equivalent intensity that align with expected future projected levels are not widely available. Of those that are available, many are then not cost-effective or commercially viable. To enable progressive reductio</w:t>
      </w:r>
      <w:r>
        <w:rPr>
          <w:rFonts w:ascii="Calibri" w:eastAsia="Calibri" w:hAnsi="Calibri" w:cs="Calibri"/>
        </w:rPr>
        <w:t>n in carbon-equivalent intensity over the lifetime of an asset, which would allow the specification to remain continuously aligned with the requirements defined in Section 4.1, there are several options:</w:t>
      </w:r>
    </w:p>
    <w:p w14:paraId="00000204"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the ship as specified at issuance will o</w:t>
      </w:r>
      <w:r>
        <w:rPr>
          <w:rFonts w:ascii="Calibri" w:eastAsia="Calibri" w:hAnsi="Calibri" w:cs="Calibri"/>
          <w:color w:val="000000"/>
        </w:rPr>
        <w:t xml:space="preserve">perate immediately with some of the lowest levels of carbon-equivalent intensity within its current peer group. </w:t>
      </w:r>
    </w:p>
    <w:p w14:paraId="00000205"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Fit technologies which produce GHG reductions now and will also enable GHG reductions in the future (e.g. many (but not all) energy efficiency </w:t>
      </w:r>
      <w:r>
        <w:rPr>
          <w:rFonts w:ascii="Calibri" w:eastAsia="Calibri" w:hAnsi="Calibri" w:cs="Calibri"/>
          <w:color w:val="000000"/>
        </w:rPr>
        <w:t xml:space="preserve">technologies, wind assistance, solar, etc. if they are cost-effective now, will likely continue to be cost-effective after a switch away from fossil fuel use). </w:t>
      </w:r>
    </w:p>
    <w:p w14:paraId="00000206"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Expect to change the operational regime to enable alignment with future lower carbon intensitie</w:t>
      </w:r>
      <w:r>
        <w:rPr>
          <w:rFonts w:ascii="Calibri" w:eastAsia="Calibri" w:hAnsi="Calibri" w:cs="Calibri"/>
          <w:color w:val="000000"/>
        </w:rPr>
        <w:t>s (e.g. anticipate future reductions in speed that could be used whilst retaining competitiveness).</w:t>
      </w:r>
    </w:p>
    <w:p w14:paraId="00000207"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Fit technologies and fuel/energy storage now which is flexible and able to be operated competitively in the future with non-fossil fuels.</w:t>
      </w:r>
    </w:p>
    <w:p w14:paraId="00000208"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Fit technologies a</w:t>
      </w:r>
      <w:r>
        <w:rPr>
          <w:rFonts w:ascii="Calibri" w:eastAsia="Calibri" w:hAnsi="Calibri" w:cs="Calibri"/>
          <w:color w:val="000000"/>
        </w:rPr>
        <w:t>nd fuel/energy storage (or put aside space for energy storage) now which for a small additional cost can be modified to be operated competitively in the future with non-fossil fuels.</w:t>
      </w:r>
    </w:p>
    <w:p w14:paraId="00000209" w14:textId="77777777" w:rsidR="001E40A1" w:rsidRDefault="001E40A1">
      <w:pPr>
        <w:rPr>
          <w:rFonts w:ascii="Calibri" w:eastAsia="Calibri" w:hAnsi="Calibri" w:cs="Calibri"/>
        </w:rPr>
      </w:pPr>
    </w:p>
    <w:p w14:paraId="0000020A" w14:textId="77777777" w:rsidR="001E40A1" w:rsidRDefault="007A0446">
      <w:pPr>
        <w:pStyle w:val="Heading3"/>
        <w:numPr>
          <w:ilvl w:val="2"/>
          <w:numId w:val="2"/>
        </w:numPr>
        <w:rPr>
          <w:rFonts w:ascii="Calibri" w:eastAsia="Calibri" w:hAnsi="Calibri" w:cs="Calibri"/>
        </w:rPr>
      </w:pPr>
      <w:bookmarkStart w:id="39" w:name="_heading=h.vx1227" w:colFirst="0" w:colLast="0"/>
      <w:bookmarkEnd w:id="39"/>
      <w:r>
        <w:rPr>
          <w:rFonts w:ascii="Calibri" w:eastAsia="Calibri" w:hAnsi="Calibri" w:cs="Calibri"/>
        </w:rPr>
        <w:t>Criteria for establishing eligibility at the point of bond issuance</w:t>
      </w:r>
    </w:p>
    <w:p w14:paraId="0000020B" w14:textId="77777777" w:rsidR="001E40A1" w:rsidRDefault="001E40A1">
      <w:pPr>
        <w:rPr>
          <w:rFonts w:ascii="Calibri" w:eastAsia="Calibri" w:hAnsi="Calibri" w:cs="Calibri"/>
        </w:rPr>
      </w:pPr>
    </w:p>
    <w:p w14:paraId="0000020C" w14:textId="77777777" w:rsidR="001E40A1" w:rsidRDefault="007A0446">
      <w:pPr>
        <w:jc w:val="both"/>
        <w:rPr>
          <w:rFonts w:ascii="Calibri" w:eastAsia="Calibri" w:hAnsi="Calibri" w:cs="Calibri"/>
        </w:rPr>
      </w:pPr>
      <w:r>
        <w:rPr>
          <w:rFonts w:ascii="Calibri" w:eastAsia="Calibri" w:hAnsi="Calibri" w:cs="Calibri"/>
        </w:rPr>
        <w:t>Tab</w:t>
      </w:r>
      <w:r>
        <w:rPr>
          <w:rFonts w:ascii="Calibri" w:eastAsia="Calibri" w:hAnsi="Calibri" w:cs="Calibri"/>
        </w:rPr>
        <w:t>le 8 outlines a number of proposed screening criteria and screening metrics for each of the asset categories – ships, infrastructure and equipment/technology. This criteria for ships require that the expected carbon intensity of ships must be no greater th</w:t>
      </w:r>
      <w:r>
        <w:rPr>
          <w:rFonts w:ascii="Calibri" w:eastAsia="Calibri" w:hAnsi="Calibri" w:cs="Calibri"/>
        </w:rPr>
        <w:t xml:space="preserve">an the decarbonisation trajectory for that ship type/size category over the lifetime of the ship. For example, eligible ships with sufficiently low carbon intensity could be represented by the green dots in Figure 6, it illustrates climate alignment for a </w:t>
      </w:r>
      <w:r>
        <w:rPr>
          <w:rFonts w:ascii="Calibri" w:eastAsia="Calibri" w:hAnsi="Calibri" w:cs="Calibri"/>
        </w:rPr>
        <w:t xml:space="preserve">set of Suezmax vessels using a hypothetical decarbonisation trajectory for the Suezmax fleet. </w:t>
      </w:r>
    </w:p>
    <w:p w14:paraId="0000020D" w14:textId="77777777" w:rsidR="001E40A1" w:rsidRDefault="001E40A1">
      <w:pPr>
        <w:rPr>
          <w:rFonts w:ascii="Calibri" w:eastAsia="Calibri" w:hAnsi="Calibri" w:cs="Calibri"/>
        </w:rPr>
      </w:pPr>
    </w:p>
    <w:p w14:paraId="0000020E" w14:textId="77777777" w:rsidR="001E40A1" w:rsidRDefault="007A0446">
      <w:pPr>
        <w:rPr>
          <w:rFonts w:ascii="Calibri" w:eastAsia="Calibri" w:hAnsi="Calibri" w:cs="Calibri"/>
          <w:b/>
        </w:rPr>
      </w:pPr>
      <w:r>
        <w:rPr>
          <w:rFonts w:ascii="Calibri" w:eastAsia="Calibri" w:hAnsi="Calibri" w:cs="Calibri"/>
          <w:b/>
        </w:rPr>
        <w:t>Figure 6: Example of climate alignment for a set ships</w:t>
      </w:r>
    </w:p>
    <w:p w14:paraId="0000020F" w14:textId="77777777" w:rsidR="001E40A1" w:rsidRDefault="007A0446">
      <w:pPr>
        <w:rPr>
          <w:rFonts w:ascii="Calibri" w:eastAsia="Calibri" w:hAnsi="Calibri" w:cs="Calibri"/>
          <w:b/>
        </w:rPr>
      </w:pPr>
      <w:r>
        <w:rPr>
          <w:rFonts w:ascii="Calibri" w:eastAsia="Calibri" w:hAnsi="Calibri" w:cs="Calibri"/>
          <w:noProof/>
        </w:rPr>
        <w:lastRenderedPageBreak/>
        <w:drawing>
          <wp:inline distT="0" distB="0" distL="0" distR="0">
            <wp:extent cx="5048195" cy="2934865"/>
            <wp:effectExtent l="0" t="0" r="0" b="0"/>
            <wp:docPr id="26" name="image2.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map&#10;&#10;Description automatically generated"/>
                    <pic:cNvPicPr preferRelativeResize="0"/>
                  </pic:nvPicPr>
                  <pic:blipFill>
                    <a:blip r:embed="rId21"/>
                    <a:srcRect/>
                    <a:stretch>
                      <a:fillRect/>
                    </a:stretch>
                  </pic:blipFill>
                  <pic:spPr>
                    <a:xfrm>
                      <a:off x="0" y="0"/>
                      <a:ext cx="5048195" cy="2934865"/>
                    </a:xfrm>
                    <a:prstGeom prst="rect">
                      <a:avLst/>
                    </a:prstGeom>
                    <a:ln/>
                  </pic:spPr>
                </pic:pic>
              </a:graphicData>
            </a:graphic>
          </wp:inline>
        </w:drawing>
      </w:r>
    </w:p>
    <w:p w14:paraId="00000210" w14:textId="77777777" w:rsidR="001E40A1" w:rsidRDefault="001E40A1">
      <w:pPr>
        <w:keepNext/>
        <w:pBdr>
          <w:top w:val="nil"/>
          <w:left w:val="nil"/>
          <w:bottom w:val="nil"/>
          <w:right w:val="nil"/>
          <w:between w:val="nil"/>
        </w:pBdr>
        <w:spacing w:after="200"/>
        <w:rPr>
          <w:rFonts w:ascii="Calibri" w:eastAsia="Calibri" w:hAnsi="Calibri" w:cs="Calibri"/>
          <w:color w:val="000000"/>
        </w:rPr>
      </w:pPr>
    </w:p>
    <w:p w14:paraId="00000211" w14:textId="77777777" w:rsidR="001E40A1" w:rsidRDefault="007A0446">
      <w:pPr>
        <w:jc w:val="both"/>
        <w:rPr>
          <w:rFonts w:ascii="Calibri" w:eastAsia="Calibri" w:hAnsi="Calibri" w:cs="Calibri"/>
        </w:rPr>
      </w:pPr>
      <w:r>
        <w:rPr>
          <w:rFonts w:ascii="Calibri" w:eastAsia="Calibri" w:hAnsi="Calibri" w:cs="Calibri"/>
        </w:rPr>
        <w:t xml:space="preserve">Data points which lie below (above) the decarbonisation trajectory (blue curve) are aligned or misaligned with the decarbonisation trajectory.  The delta </w:t>
      </w:r>
      <m:oMath>
        <m:sSub>
          <m:sSubPr>
            <m:ctrlPr>
              <w:rPr>
                <w:rFonts w:ascii="Cambria Math" w:eastAsia="Cambria Math" w:hAnsi="Cambria Math" w:cs="Cambria Math"/>
              </w:rPr>
            </m:ctrlPr>
          </m:sSubPr>
          <m:e>
            <m:r>
              <w:rPr>
                <w:rFonts w:ascii="Cambria Math" w:eastAsia="Cambria Math" w:hAnsi="Cambria Math" w:cs="Cambria Math"/>
              </w:rPr>
              <m:t>∆</m:t>
            </m:r>
          </m:e>
          <m:sub>
            <m:r>
              <w:rPr>
                <w:rFonts w:ascii="Cambria Math" w:eastAsia="Cambria Math" w:hAnsi="Cambria Math" w:cs="Cambria Math"/>
              </w:rPr>
              <m:t>i</m:t>
            </m:r>
          </m:sub>
        </m:sSub>
      </m:oMath>
      <w:r>
        <w:rPr>
          <w:rFonts w:ascii="Calibri" w:eastAsia="Calibri" w:hAnsi="Calibri" w:cs="Calibri"/>
        </w:rPr>
        <w:t xml:space="preserve"> in Figure 5 represents the alignment (the distance between its actual carbon intensity measure and</w:t>
      </w:r>
      <w:r>
        <w:rPr>
          <w:rFonts w:ascii="Calibri" w:eastAsia="Calibri" w:hAnsi="Calibri" w:cs="Calibri"/>
        </w:rPr>
        <w:t xml:space="preserve"> the trajectory) for a vessel at a single point in time (shown here in 2019). Over time, vessels will need to reduce their intensity to stay on or below the curve. In this example, after 2025, if no further action is taken, then both of the aligned vessels</w:t>
      </w:r>
      <w:r>
        <w:rPr>
          <w:rFonts w:ascii="Calibri" w:eastAsia="Calibri" w:hAnsi="Calibri" w:cs="Calibri"/>
        </w:rPr>
        <w:t xml:space="preserve"> (green dots) will become misaligned, and will need to reduce their intensity through speed, technology retrofits and/or change in the fuel type.</w:t>
      </w:r>
    </w:p>
    <w:p w14:paraId="00000212" w14:textId="77777777" w:rsidR="001E40A1" w:rsidRDefault="001E40A1">
      <w:pPr>
        <w:jc w:val="both"/>
        <w:rPr>
          <w:rFonts w:ascii="Calibri" w:eastAsia="Calibri" w:hAnsi="Calibri" w:cs="Calibri"/>
        </w:rPr>
      </w:pPr>
    </w:p>
    <w:p w14:paraId="00000213" w14:textId="77777777" w:rsidR="001E40A1" w:rsidRDefault="007A0446">
      <w:pPr>
        <w:jc w:val="both"/>
        <w:rPr>
          <w:rFonts w:ascii="Calibri" w:eastAsia="Calibri" w:hAnsi="Calibri" w:cs="Calibri"/>
        </w:rPr>
      </w:pPr>
      <w:r>
        <w:rPr>
          <w:rFonts w:ascii="Calibri" w:eastAsia="Calibri" w:hAnsi="Calibri" w:cs="Calibri"/>
        </w:rPr>
        <w:t>Standard decarbonization trajectories have been produced by CBI for each ship type and size category. Appendi</w:t>
      </w:r>
      <w:r>
        <w:rPr>
          <w:rFonts w:ascii="Calibri" w:eastAsia="Calibri" w:hAnsi="Calibri" w:cs="Calibri"/>
        </w:rPr>
        <w:t>x 3 describes the method used for establishing the target carbon intensity for a given ship type and size category in a given year. This is carried out by calculating a decarbonization trajectory from 2012 out to 2050. The method is derived from IMO Secret</w:t>
      </w:r>
      <w:r>
        <w:rPr>
          <w:rFonts w:ascii="Calibri" w:eastAsia="Calibri" w:hAnsi="Calibri" w:cs="Calibri"/>
        </w:rPr>
        <w:t xml:space="preserve">ariat commissioned data sources, both the Third IMO GHG Study and IMO MEPC 68 Inf. 24 publication. Assumptions for formulating the trajectory are also taken from the Initial Strategy, including the use of a 2008 baseline. </w:t>
      </w:r>
    </w:p>
    <w:p w14:paraId="00000214" w14:textId="77777777" w:rsidR="001E40A1" w:rsidRDefault="001E40A1">
      <w:pPr>
        <w:jc w:val="both"/>
        <w:rPr>
          <w:rFonts w:ascii="Calibri" w:eastAsia="Calibri" w:hAnsi="Calibri" w:cs="Calibri"/>
        </w:rPr>
      </w:pPr>
    </w:p>
    <w:p w14:paraId="00000215" w14:textId="77777777" w:rsidR="001E40A1" w:rsidRDefault="007A0446">
      <w:pPr>
        <w:jc w:val="both"/>
        <w:rPr>
          <w:rFonts w:ascii="Calibri" w:eastAsia="Calibri" w:hAnsi="Calibri" w:cs="Calibri"/>
        </w:rPr>
      </w:pPr>
      <w:r>
        <w:rPr>
          <w:rFonts w:ascii="Calibri" w:eastAsia="Calibri" w:hAnsi="Calibri" w:cs="Calibri"/>
        </w:rPr>
        <w:t>The trajectories currently refle</w:t>
      </w:r>
      <w:r>
        <w:rPr>
          <w:rFonts w:ascii="Calibri" w:eastAsia="Calibri" w:hAnsi="Calibri" w:cs="Calibri"/>
        </w:rPr>
        <w:t>ct carbon emissions. This serves as a proxy for GHG emissions, as carbon emissions accounted for 98% of the industry’s GHG emissions but will be corrected when the 4</w:t>
      </w:r>
      <w:r>
        <w:rPr>
          <w:rFonts w:ascii="Calibri" w:eastAsia="Calibri" w:hAnsi="Calibri" w:cs="Calibri"/>
          <w:vertAlign w:val="superscript"/>
        </w:rPr>
        <w:t>th</w:t>
      </w:r>
      <w:r>
        <w:rPr>
          <w:rFonts w:ascii="Calibri" w:eastAsia="Calibri" w:hAnsi="Calibri" w:cs="Calibri"/>
        </w:rPr>
        <w:t xml:space="preserve"> GHG Study is released. Full trajectories will also be provided in the next update to the</w:t>
      </w:r>
      <w:r>
        <w:rPr>
          <w:rFonts w:ascii="Calibri" w:eastAsia="Calibri" w:hAnsi="Calibri" w:cs="Calibri"/>
        </w:rPr>
        <w:t xml:space="preserve"> paper.</w:t>
      </w:r>
    </w:p>
    <w:p w14:paraId="00000216" w14:textId="77777777" w:rsidR="001E40A1" w:rsidRDefault="007A0446">
      <w:pPr>
        <w:jc w:val="both"/>
        <w:rPr>
          <w:rFonts w:ascii="Calibri" w:eastAsia="Calibri" w:hAnsi="Calibri" w:cs="Calibri"/>
        </w:rPr>
      </w:pPr>
      <w:r>
        <w:rPr>
          <w:rFonts w:ascii="Calibri" w:eastAsia="Calibri" w:hAnsi="Calibri" w:cs="Calibri"/>
        </w:rPr>
        <w:br/>
        <w:t>For bonds where the proceeds will go towards financing new build ships, data will not be available to validate whether the ship has met the criteria at the point of issuance. Carbon-equivalent intensity is a function of the technical efficiency (e</w:t>
      </w:r>
      <w:r>
        <w:rPr>
          <w:rFonts w:ascii="Calibri" w:eastAsia="Calibri" w:hAnsi="Calibri" w:cs="Calibri"/>
        </w:rPr>
        <w:t>.g. the technologies onboard a ship), operational parameters (e.g. speed, cargo-carried and distance sailed) and the type of fuel used. Specifically, fuel consumption and type of fuel, cargo-carried and the distance sailed to fulfil transport work when loa</w:t>
      </w:r>
      <w:r>
        <w:rPr>
          <w:rFonts w:ascii="Calibri" w:eastAsia="Calibri" w:hAnsi="Calibri" w:cs="Calibri"/>
        </w:rPr>
        <w:t>ded needs to be estimated over the lifetime of the ship. Operational parameters are influenced by market conditions and fluctuate year-on-year.</w:t>
      </w:r>
    </w:p>
    <w:p w14:paraId="00000217" w14:textId="77777777" w:rsidR="001E40A1" w:rsidRDefault="001E40A1">
      <w:pPr>
        <w:rPr>
          <w:rFonts w:ascii="Calibri" w:eastAsia="Calibri" w:hAnsi="Calibri" w:cs="Calibri"/>
        </w:rPr>
      </w:pPr>
    </w:p>
    <w:p w14:paraId="00000218" w14:textId="77777777" w:rsidR="001E40A1" w:rsidRDefault="007A0446">
      <w:pPr>
        <w:jc w:val="both"/>
        <w:rPr>
          <w:rFonts w:ascii="Calibri" w:eastAsia="Calibri" w:hAnsi="Calibri" w:cs="Calibri"/>
        </w:rPr>
      </w:pPr>
      <w:r>
        <w:rPr>
          <w:rFonts w:ascii="Calibri" w:eastAsia="Calibri" w:hAnsi="Calibri" w:cs="Calibri"/>
        </w:rPr>
        <w:t xml:space="preserve">It was recognised that some ships which meet the Shipping Criteria during the life of the bond will exceed the </w:t>
      </w:r>
      <w:r>
        <w:rPr>
          <w:rFonts w:ascii="Calibri" w:eastAsia="Calibri" w:hAnsi="Calibri" w:cs="Calibri"/>
        </w:rPr>
        <w:t>emissions intensity threshold at some point during its operating life (even if this is after the bond has matured). To reduce the risk of CBI certifying a bond where proceeds will be used to finance a ship that would at some point, fail to provide a signif</w:t>
      </w:r>
      <w:r>
        <w:rPr>
          <w:rFonts w:ascii="Calibri" w:eastAsia="Calibri" w:hAnsi="Calibri" w:cs="Calibri"/>
        </w:rPr>
        <w:t>icant contribution to meeting CBI’s climate ambition, all ships that are not zero emissions must provide a Managed Reduction Plan (MRP) that states the compatibility and plans to add retrofit technologies or a fuel switch to comply. These plans must show h</w:t>
      </w:r>
      <w:r>
        <w:rPr>
          <w:rFonts w:ascii="Calibri" w:eastAsia="Calibri" w:hAnsi="Calibri" w:cs="Calibri"/>
        </w:rPr>
        <w:t>ow the asset will achieve compliance with carbon-equivalent intensity trajectories through future retrofit or switches in energy source, and that this can be achieved without significant additional costs (whether capital or operating costs) relative to for</w:t>
      </w:r>
      <w:r>
        <w:rPr>
          <w:rFonts w:ascii="Calibri" w:eastAsia="Calibri" w:hAnsi="Calibri" w:cs="Calibri"/>
        </w:rPr>
        <w:t xml:space="preserve">eseeable future assets, such that the asset should remain competitive. </w:t>
      </w:r>
    </w:p>
    <w:p w14:paraId="00000219" w14:textId="77777777" w:rsidR="001E40A1" w:rsidRDefault="001E40A1">
      <w:pPr>
        <w:jc w:val="both"/>
        <w:rPr>
          <w:rFonts w:ascii="Calibri" w:eastAsia="Calibri" w:hAnsi="Calibri" w:cs="Calibri"/>
        </w:rPr>
      </w:pPr>
    </w:p>
    <w:p w14:paraId="0000021A" w14:textId="77777777" w:rsidR="001E40A1" w:rsidRDefault="007A0446">
      <w:pPr>
        <w:jc w:val="both"/>
        <w:rPr>
          <w:rFonts w:ascii="Calibri" w:eastAsia="Calibri" w:hAnsi="Calibri" w:cs="Calibri"/>
        </w:rPr>
      </w:pPr>
      <w:r>
        <w:rPr>
          <w:rFonts w:ascii="Calibri" w:eastAsia="Calibri" w:hAnsi="Calibri" w:cs="Calibri"/>
        </w:rPr>
        <w:lastRenderedPageBreak/>
        <w:t>By way of example, a fossil fuelled ship built in 2025, may plan to undertake a refit after 5 years of operation at which additional fuel tanks (for non-fossil fuel) are installed and</w:t>
      </w:r>
      <w:r>
        <w:rPr>
          <w:rFonts w:ascii="Calibri" w:eastAsia="Calibri" w:hAnsi="Calibri" w:cs="Calibri"/>
        </w:rPr>
        <w:t xml:space="preserve"> an engine conversion undertaken. Efforts taken at design/build can ensure that space for the tanks and access to machinery can minimise the cost of that refit, such that the ship can be competitive against newbuild ships entering the fleet in 2030 and ope</w:t>
      </w:r>
      <w:r>
        <w:rPr>
          <w:rFonts w:ascii="Calibri" w:eastAsia="Calibri" w:hAnsi="Calibri" w:cs="Calibri"/>
        </w:rPr>
        <w:t xml:space="preserve">rating on non-fossil fuel.  </w:t>
      </w:r>
    </w:p>
    <w:p w14:paraId="0000021B" w14:textId="77777777" w:rsidR="001E40A1" w:rsidRDefault="001E40A1">
      <w:pPr>
        <w:jc w:val="both"/>
        <w:rPr>
          <w:rFonts w:ascii="Calibri" w:eastAsia="Calibri" w:hAnsi="Calibri" w:cs="Calibri"/>
        </w:rPr>
      </w:pPr>
    </w:p>
    <w:p w14:paraId="0000021C" w14:textId="77777777" w:rsidR="001E40A1" w:rsidRDefault="007A0446">
      <w:pPr>
        <w:jc w:val="both"/>
        <w:rPr>
          <w:rFonts w:ascii="Calibri" w:eastAsia="Calibri" w:hAnsi="Calibri" w:cs="Calibri"/>
        </w:rPr>
      </w:pPr>
      <w:r>
        <w:rPr>
          <w:rFonts w:ascii="Calibri" w:eastAsia="Calibri" w:hAnsi="Calibri" w:cs="Calibri"/>
        </w:rPr>
        <w:t>Given the potential reliance on anticipated future changes (retrofit, energy switch) beyond the period of the bond, to achieve continued compliance with the decarbonisation trajectory, we thus require that the bond issuer pres</w:t>
      </w:r>
      <w:r>
        <w:rPr>
          <w:rFonts w:ascii="Calibri" w:eastAsia="Calibri" w:hAnsi="Calibri" w:cs="Calibri"/>
        </w:rPr>
        <w:t xml:space="preserve">ent an MRP  at the point of investment if the ship is not zero-carbon at the point of bond issuance. This MRP plan can rely on future technologies/fuels that are not available today but are expected to become available and cost-effective in the future, in </w:t>
      </w:r>
      <w:r>
        <w:rPr>
          <w:rFonts w:ascii="Calibri" w:eastAsia="Calibri" w:hAnsi="Calibri" w:cs="Calibri"/>
        </w:rPr>
        <w:t>time for the continued compliance with the decarbonisation trajectory. The list of candidate fuels for use in the reduction plan will be regularly reviewed, but initially includes:</w:t>
      </w:r>
      <w:r>
        <w:rPr>
          <w:rFonts w:ascii="Helvetica Neue" w:eastAsia="Helvetica Neue" w:hAnsi="Helvetica Neue" w:cs="Helvetica Neue"/>
          <w:color w:val="000000"/>
          <w:sz w:val="18"/>
          <w:szCs w:val="18"/>
          <w:vertAlign w:val="superscript"/>
        </w:rPr>
        <w:footnoteReference w:id="40"/>
      </w:r>
    </w:p>
    <w:p w14:paraId="0000021D"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Hydrogen</w:t>
      </w:r>
    </w:p>
    <w:p w14:paraId="0000021E"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Ammonia</w:t>
      </w:r>
    </w:p>
    <w:p w14:paraId="0000021F"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Advanced Bioenergy</w:t>
      </w:r>
      <w:r>
        <w:rPr>
          <w:rFonts w:ascii="Helvetica Neue" w:eastAsia="Helvetica Neue" w:hAnsi="Helvetica Neue" w:cs="Helvetica Neue"/>
          <w:color w:val="000000"/>
          <w:sz w:val="18"/>
          <w:szCs w:val="18"/>
          <w:vertAlign w:val="superscript"/>
        </w:rPr>
        <w:footnoteReference w:id="41"/>
      </w:r>
      <w:r>
        <w:rPr>
          <w:rFonts w:ascii="Calibri" w:eastAsia="Calibri" w:hAnsi="Calibri" w:cs="Calibri"/>
          <w:color w:val="000000"/>
        </w:rPr>
        <w:t xml:space="preserve"> </w:t>
      </w:r>
    </w:p>
    <w:p w14:paraId="00000220"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Methanol (from bio or synthetic feedstock)</w:t>
      </w:r>
    </w:p>
    <w:p w14:paraId="00000221"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Nuclear</w:t>
      </w:r>
    </w:p>
    <w:p w14:paraId="00000222"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Wind</w:t>
      </w:r>
    </w:p>
    <w:p w14:paraId="00000223"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Electric</w:t>
      </w:r>
    </w:p>
    <w:p w14:paraId="00000224" w14:textId="77777777" w:rsidR="001E40A1" w:rsidRDefault="001E40A1">
      <w:pPr>
        <w:pBdr>
          <w:top w:val="nil"/>
          <w:left w:val="nil"/>
          <w:bottom w:val="nil"/>
          <w:right w:val="nil"/>
          <w:between w:val="nil"/>
        </w:pBdr>
        <w:ind w:left="720"/>
        <w:rPr>
          <w:rFonts w:ascii="Calibri" w:eastAsia="Calibri" w:hAnsi="Calibri" w:cs="Calibri"/>
          <w:color w:val="000000"/>
        </w:rPr>
      </w:pPr>
    </w:p>
    <w:p w14:paraId="00000225" w14:textId="77777777" w:rsidR="001E40A1" w:rsidRDefault="007A0446">
      <w:pPr>
        <w:jc w:val="both"/>
        <w:rPr>
          <w:rFonts w:ascii="Calibri" w:eastAsia="Calibri" w:hAnsi="Calibri" w:cs="Calibri"/>
        </w:rPr>
      </w:pPr>
      <w:r>
        <w:rPr>
          <w:rFonts w:ascii="Calibri" w:eastAsia="Calibri" w:hAnsi="Calibri" w:cs="Calibri"/>
        </w:rPr>
        <w:t>At present, there is no evidence that synthetic or bio LNG or synthetic or bio diesel will be available at sufficient volumes and so they are not eligible for use in a reduction plan. The MR</w:t>
      </w:r>
      <w:r>
        <w:rPr>
          <w:rFonts w:ascii="Calibri" w:eastAsia="Calibri" w:hAnsi="Calibri" w:cs="Calibri"/>
        </w:rPr>
        <w:t>P should include the following details:</w:t>
      </w:r>
    </w:p>
    <w:p w14:paraId="00000226"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time period about which a significant fuel switch will be necessary</w:t>
      </w:r>
    </w:p>
    <w:p w14:paraId="00000227"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modifications required to fuel storage systems onboard (including any additional space required and how this modifies cargo carrying capacit</w:t>
      </w:r>
      <w:r>
        <w:rPr>
          <w:rFonts w:ascii="Calibri" w:eastAsia="Calibri" w:hAnsi="Calibri" w:cs="Calibri"/>
          <w:color w:val="000000"/>
        </w:rPr>
        <w:t>y)</w:t>
      </w:r>
    </w:p>
    <w:p w14:paraId="00000228"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modifications required to fuel handling systems (including bunkering systems)</w:t>
      </w:r>
    </w:p>
    <w:p w14:paraId="00000229"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modifications required to machinery</w:t>
      </w:r>
    </w:p>
    <w:p w14:paraId="0000022A" w14:textId="77777777" w:rsidR="001E40A1" w:rsidRDefault="007A044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estimated total additional cost </w:t>
      </w:r>
    </w:p>
    <w:p w14:paraId="0000022B" w14:textId="77777777" w:rsidR="001E40A1" w:rsidRDefault="007A0446">
      <w:pPr>
        <w:rPr>
          <w:rFonts w:ascii="Calibri" w:eastAsia="Calibri" w:hAnsi="Calibri" w:cs="Calibri"/>
        </w:rPr>
      </w:pPr>
      <w:r>
        <w:rPr>
          <w:rFonts w:ascii="Calibri" w:eastAsia="Calibri" w:hAnsi="Calibri" w:cs="Calibri"/>
        </w:rPr>
        <w:t>During the public consultation period, CBI received useful feedback from various industry stak</w:t>
      </w:r>
      <w:r>
        <w:rPr>
          <w:rFonts w:ascii="Calibri" w:eastAsia="Calibri" w:hAnsi="Calibri" w:cs="Calibri"/>
        </w:rPr>
        <w:t xml:space="preserve">eholders outlining the various challenges associated with the MRP requirement outlined in these criteria.  </w:t>
      </w:r>
    </w:p>
    <w:p w14:paraId="0000022C" w14:textId="77777777" w:rsidR="001E40A1" w:rsidRDefault="001E40A1">
      <w:pPr>
        <w:rPr>
          <w:rFonts w:ascii="Calibri" w:eastAsia="Calibri" w:hAnsi="Calibri" w:cs="Calibri"/>
        </w:rPr>
      </w:pPr>
    </w:p>
    <w:p w14:paraId="0000022D" w14:textId="77777777" w:rsidR="001E40A1" w:rsidRDefault="001E40A1">
      <w:pPr>
        <w:rPr>
          <w:rFonts w:ascii="Calibri" w:eastAsia="Calibri" w:hAnsi="Calibri" w:cs="Calibri"/>
        </w:rPr>
      </w:pPr>
    </w:p>
    <w:tbl>
      <w:tblPr>
        <w:tblStyle w:val="a5"/>
        <w:tblW w:w="991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12"/>
      </w:tblGrid>
      <w:tr w:rsidR="001E40A1" w14:paraId="5BC764BF" w14:textId="77777777">
        <w:tc>
          <w:tcPr>
            <w:tcW w:w="9912" w:type="dxa"/>
          </w:tcPr>
          <w:p w14:paraId="0000022E" w14:textId="77777777" w:rsidR="001E40A1" w:rsidRDefault="007A0446">
            <w:pPr>
              <w:rPr>
                <w:rFonts w:ascii="Calibri" w:eastAsia="Calibri" w:hAnsi="Calibri" w:cs="Calibri"/>
              </w:rPr>
            </w:pPr>
            <w:r>
              <w:rPr>
                <w:rFonts w:ascii="Calibri" w:eastAsia="Calibri" w:hAnsi="Calibri" w:cs="Calibri"/>
              </w:rPr>
              <w:t>Further guidance to support issuers with submission of MRPs:</w:t>
            </w:r>
          </w:p>
          <w:p w14:paraId="0000022F" w14:textId="77777777" w:rsidR="001E40A1" w:rsidRDefault="007A0446">
            <w:pPr>
              <w:numPr>
                <w:ilvl w:val="0"/>
                <w:numId w:val="15"/>
              </w:numPr>
              <w:rPr>
                <w:rFonts w:ascii="Calibri" w:eastAsia="Calibri" w:hAnsi="Calibri" w:cs="Calibri"/>
                <w:color w:val="000000"/>
              </w:rPr>
            </w:pPr>
            <w:r>
              <w:rPr>
                <w:rFonts w:ascii="Calibri" w:eastAsia="Calibri" w:hAnsi="Calibri" w:cs="Calibri"/>
                <w:color w:val="000000"/>
              </w:rPr>
              <w:t>The MRP is a novel requirement that currently does not exist in the market. The intention is to encourage issuers to think about future technology pathways and scenarios, and to help them use our Certification tool as a means of communicating this to marke</w:t>
            </w:r>
            <w:r>
              <w:rPr>
                <w:rFonts w:ascii="Calibri" w:eastAsia="Calibri" w:hAnsi="Calibri" w:cs="Calibri"/>
                <w:color w:val="000000"/>
              </w:rPr>
              <w:t>t.</w:t>
            </w:r>
          </w:p>
          <w:p w14:paraId="00000230" w14:textId="77777777" w:rsidR="001E40A1" w:rsidRDefault="007A0446">
            <w:pPr>
              <w:numPr>
                <w:ilvl w:val="0"/>
                <w:numId w:val="15"/>
              </w:numPr>
              <w:rPr>
                <w:rFonts w:ascii="Calibri" w:eastAsia="Calibri" w:hAnsi="Calibri" w:cs="Calibri"/>
                <w:color w:val="000000"/>
              </w:rPr>
            </w:pPr>
            <w:r>
              <w:rPr>
                <w:rFonts w:ascii="Calibri" w:eastAsia="Calibri" w:hAnsi="Calibri" w:cs="Calibri"/>
                <w:color w:val="000000"/>
              </w:rPr>
              <w:t>We will not withhold Certification on the basis of quality of the MRP. While we encourage best-effort on the part of the issuer in preparing this documentation, we acknowledge that due to the lack of comparable documentation, we cannot currently referen</w:t>
            </w:r>
            <w:r>
              <w:rPr>
                <w:rFonts w:ascii="Calibri" w:eastAsia="Calibri" w:hAnsi="Calibri" w:cs="Calibri"/>
                <w:color w:val="000000"/>
              </w:rPr>
              <w:t xml:space="preserve">ce ‘best practice’. </w:t>
            </w:r>
          </w:p>
          <w:p w14:paraId="00000231" w14:textId="77777777" w:rsidR="001E40A1" w:rsidRDefault="007A0446">
            <w:pPr>
              <w:numPr>
                <w:ilvl w:val="0"/>
                <w:numId w:val="15"/>
              </w:numPr>
              <w:rPr>
                <w:rFonts w:ascii="Calibri" w:eastAsia="Calibri" w:hAnsi="Calibri" w:cs="Calibri"/>
                <w:color w:val="000000"/>
              </w:rPr>
            </w:pPr>
            <w:r>
              <w:rPr>
                <w:rFonts w:ascii="Calibri" w:eastAsia="Calibri" w:hAnsi="Calibri" w:cs="Calibri"/>
                <w:color w:val="000000"/>
              </w:rPr>
              <w:t xml:space="preserve">We will accept MRPs, provided that the documents submitted provide the details required above and clarifies the types of fuels/energy sources that the issuer intends to transition towards. </w:t>
            </w:r>
          </w:p>
          <w:p w14:paraId="00000232" w14:textId="77777777" w:rsidR="001E40A1" w:rsidRDefault="007A0446">
            <w:pPr>
              <w:numPr>
                <w:ilvl w:val="0"/>
                <w:numId w:val="15"/>
              </w:numPr>
            </w:pPr>
            <w:r>
              <w:rPr>
                <w:rFonts w:ascii="Calibri" w:eastAsia="Calibri" w:hAnsi="Calibri" w:cs="Calibri"/>
                <w:color w:val="000000"/>
              </w:rPr>
              <w:t>However, we expect that over time, the ambiti</w:t>
            </w:r>
            <w:r>
              <w:rPr>
                <w:rFonts w:ascii="Calibri" w:eastAsia="Calibri" w:hAnsi="Calibri" w:cs="Calibri"/>
                <w:color w:val="000000"/>
              </w:rPr>
              <w:t>on and quality of these MRPs will reveal itself. We are hopeful that the shipping industry will draw on existing documentation such as the Ship Energy Efficiency Management Plan (SEEMP), to guide their submissions.</w:t>
            </w:r>
            <w:r>
              <w:rPr>
                <w:rFonts w:ascii="Gill Sans" w:eastAsia="Gill Sans" w:hAnsi="Gill Sans" w:cs="Gill Sans"/>
                <w:color w:val="000000"/>
              </w:rPr>
              <w:t xml:space="preserve"> </w:t>
            </w:r>
          </w:p>
        </w:tc>
      </w:tr>
    </w:tbl>
    <w:p w14:paraId="00000233" w14:textId="77777777" w:rsidR="001E40A1" w:rsidRDefault="001E40A1">
      <w:pPr>
        <w:rPr>
          <w:rFonts w:ascii="Calibri" w:eastAsia="Calibri" w:hAnsi="Calibri" w:cs="Calibri"/>
        </w:rPr>
      </w:pPr>
    </w:p>
    <w:tbl>
      <w:tblPr>
        <w:tblStyle w:val="a6"/>
        <w:tblW w:w="991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12"/>
      </w:tblGrid>
      <w:tr w:rsidR="001E40A1" w14:paraId="0B70D65F" w14:textId="77777777">
        <w:tc>
          <w:tcPr>
            <w:tcW w:w="9912" w:type="dxa"/>
          </w:tcPr>
          <w:p w14:paraId="00000234" w14:textId="77777777" w:rsidR="001E40A1" w:rsidRDefault="007A0446">
            <w:pPr>
              <w:rPr>
                <w:rFonts w:ascii="Calibri" w:eastAsia="Calibri" w:hAnsi="Calibri" w:cs="Calibri"/>
              </w:rPr>
            </w:pPr>
            <w:r>
              <w:rPr>
                <w:rFonts w:ascii="Calibri" w:eastAsia="Calibri" w:hAnsi="Calibri" w:cs="Calibri"/>
              </w:rPr>
              <w:t xml:space="preserve">The public consultation also brought to our attention the need for more clarity on the role of LNG. The following points are intended to provide more background on CBI’s stance on LNG.  </w:t>
            </w:r>
          </w:p>
          <w:p w14:paraId="00000235" w14:textId="77777777" w:rsidR="001E40A1" w:rsidRDefault="001E40A1">
            <w:pPr>
              <w:rPr>
                <w:rFonts w:ascii="Calibri" w:eastAsia="Calibri" w:hAnsi="Calibri" w:cs="Calibri"/>
              </w:rPr>
            </w:pPr>
          </w:p>
          <w:p w14:paraId="00000236" w14:textId="77777777" w:rsidR="001E40A1" w:rsidRDefault="007A0446">
            <w:pPr>
              <w:numPr>
                <w:ilvl w:val="0"/>
                <w:numId w:val="12"/>
              </w:numPr>
              <w:rPr>
                <w:rFonts w:ascii="Calibri" w:eastAsia="Calibri" w:hAnsi="Calibri" w:cs="Calibri"/>
                <w:color w:val="000000"/>
              </w:rPr>
            </w:pPr>
            <w:r>
              <w:rPr>
                <w:rFonts w:ascii="Calibri" w:eastAsia="Calibri" w:hAnsi="Calibri" w:cs="Calibri"/>
                <w:color w:val="000000"/>
              </w:rPr>
              <w:t>Currently, LNG is not eligible as a candidate fuel under the MRP.</w:t>
            </w:r>
          </w:p>
          <w:p w14:paraId="00000237" w14:textId="77777777" w:rsidR="001E40A1" w:rsidRDefault="007A0446">
            <w:pPr>
              <w:numPr>
                <w:ilvl w:val="1"/>
                <w:numId w:val="12"/>
              </w:numPr>
              <w:rPr>
                <w:rFonts w:ascii="Calibri" w:eastAsia="Calibri" w:hAnsi="Calibri" w:cs="Calibri"/>
                <w:color w:val="000000"/>
              </w:rPr>
            </w:pPr>
            <w:r>
              <w:rPr>
                <w:rFonts w:ascii="Calibri" w:eastAsia="Calibri" w:hAnsi="Calibri" w:cs="Calibri"/>
                <w:color w:val="000000"/>
              </w:rPr>
              <w:t>Wh</w:t>
            </w:r>
            <w:r>
              <w:rPr>
                <w:rFonts w:ascii="Calibri" w:eastAsia="Calibri" w:hAnsi="Calibri" w:cs="Calibri"/>
                <w:color w:val="000000"/>
              </w:rPr>
              <w:t>ile there is some credence to the role of natural gas as a ‘transition’ fuel, it is not however, given evidence around the extent of methane leakage and the severity of methane global warming potential, we do not currently view natural gas as Paris-aligned</w:t>
            </w:r>
            <w:r>
              <w:rPr>
                <w:rFonts w:ascii="Calibri" w:eastAsia="Calibri" w:hAnsi="Calibri" w:cs="Calibri"/>
                <w:color w:val="000000"/>
              </w:rPr>
              <w:t xml:space="preserve"> energy type.</w:t>
            </w:r>
          </w:p>
          <w:p w14:paraId="00000238" w14:textId="77777777" w:rsidR="001E40A1" w:rsidRDefault="001E40A1">
            <w:pPr>
              <w:rPr>
                <w:rFonts w:ascii="Calibri" w:eastAsia="Calibri" w:hAnsi="Calibri" w:cs="Calibri"/>
              </w:rPr>
            </w:pPr>
          </w:p>
          <w:p w14:paraId="00000239" w14:textId="77777777" w:rsidR="001E40A1" w:rsidRDefault="007A0446">
            <w:pPr>
              <w:numPr>
                <w:ilvl w:val="0"/>
                <w:numId w:val="12"/>
              </w:numPr>
              <w:rPr>
                <w:rFonts w:ascii="Calibri" w:eastAsia="Calibri" w:hAnsi="Calibri" w:cs="Calibri"/>
                <w:color w:val="000000"/>
              </w:rPr>
            </w:pPr>
            <w:r>
              <w:rPr>
                <w:rFonts w:ascii="Calibri" w:eastAsia="Calibri" w:hAnsi="Calibri" w:cs="Calibri"/>
                <w:color w:val="000000"/>
              </w:rPr>
              <w:t xml:space="preserve">Advanced Bioenergy, such as BioLNG is eligible. </w:t>
            </w:r>
          </w:p>
          <w:p w14:paraId="0000023A" w14:textId="77777777" w:rsidR="001E40A1" w:rsidRDefault="007A0446">
            <w:pPr>
              <w:numPr>
                <w:ilvl w:val="1"/>
                <w:numId w:val="12"/>
              </w:numPr>
              <w:rPr>
                <w:rFonts w:ascii="Calibri" w:eastAsia="Calibri" w:hAnsi="Calibri" w:cs="Calibri"/>
                <w:color w:val="000000"/>
              </w:rPr>
            </w:pPr>
            <w:r>
              <w:rPr>
                <w:rFonts w:ascii="Calibri" w:eastAsia="Calibri" w:hAnsi="Calibri" w:cs="Calibri"/>
                <w:color w:val="000000"/>
              </w:rPr>
              <w:lastRenderedPageBreak/>
              <w:t>BioLNG and other biofuels produced from feedstocks listed in Part A, Annex IX of the EU Renewable Energy Directive (2018/2001/EU) are eligible as candidate fuels for the MRP.</w:t>
            </w:r>
          </w:p>
          <w:p w14:paraId="0000023B" w14:textId="77777777" w:rsidR="001E40A1" w:rsidRDefault="007A0446">
            <w:pPr>
              <w:numPr>
                <w:ilvl w:val="1"/>
                <w:numId w:val="12"/>
              </w:numPr>
              <w:rPr>
                <w:rFonts w:ascii="Calibri" w:eastAsia="Calibri" w:hAnsi="Calibri" w:cs="Calibri"/>
                <w:color w:val="000000"/>
              </w:rPr>
            </w:pPr>
            <w:r>
              <w:rPr>
                <w:rFonts w:ascii="Calibri" w:eastAsia="Calibri" w:hAnsi="Calibri" w:cs="Calibri"/>
                <w:color w:val="000000"/>
              </w:rPr>
              <w:t>Combustion of Bio</w:t>
            </w:r>
            <w:r>
              <w:rPr>
                <w:rFonts w:ascii="Calibri" w:eastAsia="Calibri" w:hAnsi="Calibri" w:cs="Calibri"/>
                <w:color w:val="000000"/>
              </w:rPr>
              <w:t>LNG presents an opportunity for the shipping sector to reduce its climate impact without making significant modifications to assets. However, we recognize that BioLNG can be produced from primary or secondary feedstocks. The former would create limited cli</w:t>
            </w:r>
            <w:r>
              <w:rPr>
                <w:rFonts w:ascii="Calibri" w:eastAsia="Calibri" w:hAnsi="Calibri" w:cs="Calibri"/>
                <w:color w:val="000000"/>
              </w:rPr>
              <w:t>mate mitigation benefits due to the climate impacts of producing energy crops.</w:t>
            </w:r>
          </w:p>
          <w:p w14:paraId="0000023C" w14:textId="77777777" w:rsidR="001E40A1" w:rsidRDefault="007A0446">
            <w:pPr>
              <w:numPr>
                <w:ilvl w:val="1"/>
                <w:numId w:val="12"/>
              </w:numPr>
              <w:rPr>
                <w:rFonts w:ascii="Calibri" w:eastAsia="Calibri" w:hAnsi="Calibri" w:cs="Calibri"/>
                <w:color w:val="000000"/>
                <w:sz w:val="22"/>
                <w:szCs w:val="22"/>
              </w:rPr>
            </w:pPr>
            <w:r>
              <w:rPr>
                <w:rFonts w:ascii="Calibri" w:eastAsia="Calibri" w:hAnsi="Calibri" w:cs="Calibri"/>
                <w:color w:val="000000"/>
              </w:rPr>
              <w:t>Therefore, in order to encourage transparency, we recommend that issuers who reference BioLNG in their MRPs provide certificates to prove the origin of the fuels.</w:t>
            </w:r>
            <w:r>
              <w:rPr>
                <w:rFonts w:ascii="Calibri" w:eastAsia="Calibri" w:hAnsi="Calibri" w:cs="Calibri"/>
                <w:color w:val="000000"/>
                <w:sz w:val="22"/>
                <w:szCs w:val="22"/>
              </w:rPr>
              <w:t xml:space="preserve"> </w:t>
            </w:r>
          </w:p>
        </w:tc>
      </w:tr>
    </w:tbl>
    <w:p w14:paraId="0000023D" w14:textId="77777777" w:rsidR="001E40A1" w:rsidRDefault="001E40A1">
      <w:pPr>
        <w:rPr>
          <w:rFonts w:ascii="Calibri" w:eastAsia="Calibri" w:hAnsi="Calibri" w:cs="Calibri"/>
        </w:rPr>
      </w:pPr>
    </w:p>
    <w:p w14:paraId="0000023E" w14:textId="77777777" w:rsidR="001E40A1" w:rsidRDefault="007A0446">
      <w:pPr>
        <w:pStyle w:val="Heading3"/>
        <w:numPr>
          <w:ilvl w:val="2"/>
          <w:numId w:val="2"/>
        </w:numPr>
        <w:rPr>
          <w:rFonts w:ascii="Calibri" w:eastAsia="Calibri" w:hAnsi="Calibri" w:cs="Calibri"/>
        </w:rPr>
      </w:pPr>
      <w:bookmarkStart w:id="40" w:name="_heading=h.3fwokq0" w:colFirst="0" w:colLast="0"/>
      <w:bookmarkEnd w:id="40"/>
      <w:r>
        <w:rPr>
          <w:rFonts w:ascii="Calibri" w:eastAsia="Calibri" w:hAnsi="Calibri" w:cs="Calibri"/>
        </w:rPr>
        <w:t xml:space="preserve">Procedure for monitoring eligibility over the period of the bond </w:t>
      </w:r>
    </w:p>
    <w:p w14:paraId="0000023F" w14:textId="77777777" w:rsidR="001E40A1" w:rsidRDefault="001E40A1">
      <w:pPr>
        <w:rPr>
          <w:rFonts w:ascii="Calibri" w:eastAsia="Calibri" w:hAnsi="Calibri" w:cs="Calibri"/>
        </w:rPr>
      </w:pPr>
    </w:p>
    <w:p w14:paraId="00000240" w14:textId="77777777" w:rsidR="001E40A1" w:rsidRDefault="007A0446">
      <w:pPr>
        <w:jc w:val="both"/>
        <w:rPr>
          <w:rFonts w:ascii="Calibri" w:eastAsia="Calibri" w:hAnsi="Calibri" w:cs="Calibri"/>
        </w:rPr>
      </w:pPr>
      <w:r>
        <w:rPr>
          <w:rFonts w:ascii="Calibri" w:eastAsia="Calibri" w:hAnsi="Calibri" w:cs="Calibri"/>
        </w:rPr>
        <w:t>All certified bonds hav</w:t>
      </w:r>
      <w:r>
        <w:rPr>
          <w:rFonts w:ascii="Calibri" w:eastAsia="Calibri" w:hAnsi="Calibri" w:cs="Calibri"/>
        </w:rPr>
        <w:t>e to report annually to confirm that assets remain in compliance. The carbon-equivalent intensity of a ship will need to be monitored over time to ensure adherence to its projected values because it can vary as a function of operational choices (e.g. speed</w:t>
      </w:r>
      <w:r>
        <w:rPr>
          <w:rFonts w:ascii="Calibri" w:eastAsia="Calibri" w:hAnsi="Calibri" w:cs="Calibri"/>
        </w:rPr>
        <w:t xml:space="preserve"> and utilisation) and also fuels used. The monitoring process requires that the issuer of a bond reports annually on the actual in-service carbon-equivalent intensity of operations. The metric and the report should be consistent with those used to meet the</w:t>
      </w:r>
      <w:r>
        <w:rPr>
          <w:rFonts w:ascii="Calibri" w:eastAsia="Calibri" w:hAnsi="Calibri" w:cs="Calibri"/>
        </w:rPr>
        <w:t xml:space="preserve"> Shipping Criteria. </w:t>
      </w:r>
    </w:p>
    <w:p w14:paraId="00000241" w14:textId="77777777" w:rsidR="001E40A1" w:rsidRDefault="001E40A1">
      <w:pPr>
        <w:jc w:val="both"/>
        <w:rPr>
          <w:rFonts w:ascii="Calibri" w:eastAsia="Calibri" w:hAnsi="Calibri" w:cs="Calibri"/>
        </w:rPr>
      </w:pPr>
    </w:p>
    <w:p w14:paraId="00000242" w14:textId="77777777" w:rsidR="001E40A1" w:rsidRDefault="007A0446">
      <w:pPr>
        <w:jc w:val="both"/>
        <w:rPr>
          <w:rFonts w:ascii="Calibri" w:eastAsia="Calibri" w:hAnsi="Calibri" w:cs="Calibri"/>
        </w:rPr>
      </w:pPr>
      <w:bookmarkStart w:id="41" w:name="_heading=h.1v1yuxt" w:colFirst="0" w:colLast="0"/>
      <w:bookmarkEnd w:id="41"/>
      <w:r>
        <w:rPr>
          <w:rFonts w:ascii="Calibri" w:eastAsia="Calibri" w:hAnsi="Calibri" w:cs="Calibri"/>
        </w:rPr>
        <w:t>The report must be based on data that has been verified by an independent third party. It is proposed that the data used to generate the report should be either those values reported by the asset owner (in this case the ship), to repo</w:t>
      </w:r>
      <w:r>
        <w:rPr>
          <w:rFonts w:ascii="Calibri" w:eastAsia="Calibri" w:hAnsi="Calibri" w:cs="Calibri"/>
        </w:rPr>
        <w:t xml:space="preserve">rt to the IMO’s Data Collection System, or the EU’s MRV system, for which minimum verification standards have already been defined. The use of such pre-existing systems also ensures that no additional data collection burden should be required. </w:t>
      </w:r>
      <w:r>
        <w:br w:type="page"/>
      </w:r>
    </w:p>
    <w:p w14:paraId="00000243" w14:textId="77777777" w:rsidR="001E40A1" w:rsidRDefault="007A0446">
      <w:pPr>
        <w:pStyle w:val="Heading1"/>
      </w:pPr>
      <w:bookmarkStart w:id="42" w:name="_heading=h.4f1mdlm" w:colFirst="0" w:colLast="0"/>
      <w:bookmarkEnd w:id="42"/>
      <w:r>
        <w:lastRenderedPageBreak/>
        <w:t>5. Adaptat</w:t>
      </w:r>
      <w:r>
        <w:t>ion &amp; Resilience Principles</w:t>
      </w:r>
    </w:p>
    <w:p w14:paraId="00000244" w14:textId="77777777" w:rsidR="001E40A1" w:rsidRDefault="001E40A1">
      <w:pPr>
        <w:rPr>
          <w:rFonts w:ascii="Calibri" w:eastAsia="Calibri" w:hAnsi="Calibri" w:cs="Calibri"/>
        </w:rPr>
      </w:pPr>
    </w:p>
    <w:p w14:paraId="00000245" w14:textId="77777777" w:rsidR="001E40A1" w:rsidRDefault="007A0446">
      <w:pPr>
        <w:pBdr>
          <w:top w:val="nil"/>
          <w:left w:val="nil"/>
          <w:bottom w:val="nil"/>
          <w:right w:val="nil"/>
          <w:between w:val="nil"/>
        </w:pBdr>
        <w:shd w:val="clear" w:color="auto" w:fill="FFFFFF"/>
        <w:spacing w:after="150"/>
        <w:jc w:val="both"/>
        <w:rPr>
          <w:rFonts w:ascii="Calibri" w:eastAsia="Calibri" w:hAnsi="Calibri" w:cs="Calibri"/>
          <w:color w:val="000000"/>
        </w:rPr>
      </w:pPr>
      <w:r>
        <w:rPr>
          <w:rFonts w:ascii="Calibri" w:eastAsia="Calibri" w:hAnsi="Calibri" w:cs="Calibri"/>
          <w:color w:val="000000"/>
        </w:rPr>
        <w:t>CBI’s Climate Adaptation &amp; Resilience Principles are designed to provide a framework for Climate Resilience Criteria requiring Certified Climate Bond issuers to go beyond just assessing climate risks. Specifically, issuers must</w:t>
      </w:r>
      <w:r>
        <w:rPr>
          <w:rFonts w:ascii="Calibri" w:eastAsia="Calibri" w:hAnsi="Calibri" w:cs="Calibri"/>
          <w:color w:val="000000"/>
        </w:rPr>
        <w:t xml:space="preserve"> demonstrate that for the assets and activities (re)financed via the bond they:</w:t>
      </w:r>
    </w:p>
    <w:p w14:paraId="00000246" w14:textId="77777777" w:rsidR="001E40A1" w:rsidRDefault="007A0446">
      <w:pPr>
        <w:numPr>
          <w:ilvl w:val="0"/>
          <w:numId w:val="18"/>
        </w:numPr>
        <w:shd w:val="clear" w:color="auto" w:fill="FFFFFF"/>
        <w:spacing w:before="280"/>
        <w:rPr>
          <w:rFonts w:ascii="Calibri" w:eastAsia="Calibri" w:hAnsi="Calibri" w:cs="Calibri"/>
        </w:rPr>
      </w:pPr>
      <w:r>
        <w:rPr>
          <w:rFonts w:ascii="Calibri" w:eastAsia="Calibri" w:hAnsi="Calibri" w:cs="Calibri"/>
        </w:rPr>
        <w:t>Understand the climate risks faced by the asset, activity or system in question;  </w:t>
      </w:r>
    </w:p>
    <w:p w14:paraId="00000247" w14:textId="77777777" w:rsidR="001E40A1" w:rsidRDefault="007A0446">
      <w:pPr>
        <w:numPr>
          <w:ilvl w:val="0"/>
          <w:numId w:val="18"/>
        </w:numPr>
        <w:shd w:val="clear" w:color="auto" w:fill="FFFFFF"/>
        <w:rPr>
          <w:rFonts w:ascii="Calibri" w:eastAsia="Calibri" w:hAnsi="Calibri" w:cs="Calibri"/>
        </w:rPr>
      </w:pPr>
      <w:r>
        <w:rPr>
          <w:rFonts w:ascii="Calibri" w:eastAsia="Calibri" w:hAnsi="Calibri" w:cs="Calibri"/>
        </w:rPr>
        <w:t xml:space="preserve">Have addressed those risks by undertaking risk-reduction measures and adopting flexible management plans that take account of inherent uncertainties around climate change, ensuring that the asset, activity or system is robust, flexible and fit-for-purpose </w:t>
      </w:r>
      <w:r>
        <w:rPr>
          <w:rFonts w:ascii="Calibri" w:eastAsia="Calibri" w:hAnsi="Calibri" w:cs="Calibri"/>
        </w:rPr>
        <w:t>in the face of that uncertainty; </w:t>
      </w:r>
    </w:p>
    <w:p w14:paraId="00000248" w14:textId="77777777" w:rsidR="001E40A1" w:rsidRDefault="007A0446">
      <w:pPr>
        <w:numPr>
          <w:ilvl w:val="0"/>
          <w:numId w:val="18"/>
        </w:numPr>
        <w:shd w:val="clear" w:color="auto" w:fill="FFFFFF"/>
        <w:rPr>
          <w:rFonts w:ascii="Calibri" w:eastAsia="Calibri" w:hAnsi="Calibri" w:cs="Calibri"/>
        </w:rPr>
      </w:pPr>
      <w:r>
        <w:rPr>
          <w:rFonts w:ascii="Calibri" w:eastAsia="Calibri" w:hAnsi="Calibri" w:cs="Calibri"/>
        </w:rPr>
        <w:t>Can deliver resilience benefits over and above addressing identified risks (for system-focused investments); and</w:t>
      </w:r>
    </w:p>
    <w:p w14:paraId="00000249" w14:textId="77777777" w:rsidR="001E40A1" w:rsidRDefault="007A0446">
      <w:pPr>
        <w:numPr>
          <w:ilvl w:val="0"/>
          <w:numId w:val="18"/>
        </w:numPr>
        <w:shd w:val="clear" w:color="auto" w:fill="FFFFFF"/>
        <w:spacing w:after="280"/>
        <w:rPr>
          <w:rFonts w:ascii="Calibri" w:eastAsia="Calibri" w:hAnsi="Calibri" w:cs="Calibri"/>
        </w:rPr>
      </w:pPr>
      <w:r>
        <w:rPr>
          <w:rFonts w:ascii="Calibri" w:eastAsia="Calibri" w:hAnsi="Calibri" w:cs="Calibri"/>
        </w:rPr>
        <w:t>Are undertaking regular (re)evaluation of the asset and/or system’s climate resilience performance, adjusting</w:t>
      </w:r>
      <w:r>
        <w:rPr>
          <w:rFonts w:ascii="Calibri" w:eastAsia="Calibri" w:hAnsi="Calibri" w:cs="Calibri"/>
        </w:rPr>
        <w:t xml:space="preserve"> to risk reduction measures over time as needed. </w:t>
      </w:r>
    </w:p>
    <w:p w14:paraId="0000024A" w14:textId="77777777" w:rsidR="001E40A1" w:rsidRDefault="007A0446">
      <w:pPr>
        <w:pBdr>
          <w:top w:val="nil"/>
          <w:left w:val="nil"/>
          <w:bottom w:val="nil"/>
          <w:right w:val="nil"/>
          <w:between w:val="nil"/>
        </w:pBdr>
        <w:shd w:val="clear" w:color="auto" w:fill="FFFFFF"/>
        <w:spacing w:after="150"/>
        <w:jc w:val="both"/>
        <w:rPr>
          <w:rFonts w:ascii="Calibri" w:eastAsia="Calibri" w:hAnsi="Calibri" w:cs="Calibri"/>
          <w:b/>
          <w:color w:val="000000"/>
        </w:rPr>
      </w:pPr>
      <w:r>
        <w:rPr>
          <w:rFonts w:ascii="Calibri" w:eastAsia="Calibri" w:hAnsi="Calibri" w:cs="Calibri"/>
          <w:b/>
          <w:color w:val="000000"/>
        </w:rPr>
        <w:t>Despite our best efforts to develop criteria on adaptation and resilience for the shipping sector, there are currently no additional mandatory requirements for issuers to meet CBI’s Climate Resilience Princ</w:t>
      </w:r>
      <w:r>
        <w:rPr>
          <w:rFonts w:ascii="Calibri" w:eastAsia="Calibri" w:hAnsi="Calibri" w:cs="Calibri"/>
          <w:b/>
          <w:color w:val="000000"/>
        </w:rPr>
        <w:t xml:space="preserve">iples. </w:t>
      </w:r>
    </w:p>
    <w:p w14:paraId="0000024B" w14:textId="77777777" w:rsidR="001E40A1" w:rsidRDefault="007A0446">
      <w:pPr>
        <w:pBdr>
          <w:top w:val="nil"/>
          <w:left w:val="nil"/>
          <w:bottom w:val="nil"/>
          <w:right w:val="nil"/>
          <w:between w:val="nil"/>
        </w:pBdr>
        <w:shd w:val="clear" w:color="auto" w:fill="FFFFFF"/>
        <w:spacing w:after="150"/>
        <w:jc w:val="both"/>
        <w:rPr>
          <w:rFonts w:ascii="Calibri" w:eastAsia="Calibri" w:hAnsi="Calibri" w:cs="Calibri"/>
          <w:b/>
          <w:color w:val="000000"/>
        </w:rPr>
      </w:pPr>
      <w:r>
        <w:rPr>
          <w:rFonts w:ascii="Calibri" w:eastAsia="Calibri" w:hAnsi="Calibri" w:cs="Calibri"/>
          <w:color w:val="000000"/>
        </w:rPr>
        <w:t>This is because vessels are implicitly fit for purpose in changing climates as existing standards and classification society requirements are already capable of ensuring that vessels are able resilient to extreme weather events. Further-more, it wa</w:t>
      </w:r>
      <w:r>
        <w:rPr>
          <w:rFonts w:ascii="Calibri" w:eastAsia="Calibri" w:hAnsi="Calibri" w:cs="Calibri"/>
          <w:color w:val="000000"/>
        </w:rPr>
        <w:t xml:space="preserve">s determined that existing shipping sector regulations, in particular The International Convention for the Prevention of Pollution from Ships (MARPOL) and The International Convention for the Safety of Life at Sea (SOLAS) were found to provide an adequate </w:t>
      </w:r>
      <w:r>
        <w:rPr>
          <w:rFonts w:ascii="Calibri" w:eastAsia="Calibri" w:hAnsi="Calibri" w:cs="Calibri"/>
          <w:color w:val="000000"/>
        </w:rPr>
        <w:t xml:space="preserve">basis for protecting the marine environment as well as human lives at sea. As such, the shipping sector is currently derogated from the requirements of CBI’s Climate Resilience Principles. This will be subject to periodic review. </w:t>
      </w:r>
    </w:p>
    <w:p w14:paraId="0000024C" w14:textId="77777777" w:rsidR="001E40A1" w:rsidRDefault="007A0446">
      <w:pPr>
        <w:pBdr>
          <w:top w:val="nil"/>
          <w:left w:val="nil"/>
          <w:bottom w:val="nil"/>
          <w:right w:val="nil"/>
          <w:between w:val="nil"/>
        </w:pBdr>
        <w:shd w:val="clear" w:color="auto" w:fill="FFFFFF"/>
        <w:spacing w:after="150"/>
        <w:jc w:val="both"/>
        <w:rPr>
          <w:rFonts w:ascii="Calibri" w:eastAsia="Calibri" w:hAnsi="Calibri" w:cs="Calibri"/>
          <w:color w:val="000000"/>
        </w:rPr>
      </w:pPr>
      <w:r>
        <w:rPr>
          <w:rFonts w:ascii="Calibri" w:eastAsia="Calibri" w:hAnsi="Calibri" w:cs="Calibri"/>
          <w:color w:val="000000"/>
        </w:rPr>
        <w:t>The resilience of infrast</w:t>
      </w:r>
      <w:r>
        <w:rPr>
          <w:rFonts w:ascii="Calibri" w:eastAsia="Calibri" w:hAnsi="Calibri" w:cs="Calibri"/>
          <w:color w:val="000000"/>
        </w:rPr>
        <w:t>ructure that is dedicated to recharging or refuelling zero-emissions ships was found to be outside the specialisation of the Shipping Criteria TWG. Moreover, the Climate Resilience Principles that would be developed for infrastructure on ports would be bet</w:t>
      </w:r>
      <w:r>
        <w:rPr>
          <w:rFonts w:ascii="Calibri" w:eastAsia="Calibri" w:hAnsi="Calibri" w:cs="Calibri"/>
          <w:color w:val="000000"/>
        </w:rPr>
        <w:t>ter developed as separate criteria. As such, assets that are dedicated to recharging or refuelling infrastructure for zero-emissions ships are currently derogated from the requirements of CBI’s Climate Resilience Principles. This will be subject to periodi</w:t>
      </w:r>
      <w:r>
        <w:rPr>
          <w:rFonts w:ascii="Calibri" w:eastAsia="Calibri" w:hAnsi="Calibri" w:cs="Calibri"/>
          <w:color w:val="000000"/>
        </w:rPr>
        <w:t>c review.</w:t>
      </w:r>
      <w:r>
        <w:rPr>
          <w:rFonts w:ascii="Calibri" w:eastAsia="Calibri" w:hAnsi="Calibri" w:cs="Calibri"/>
          <w:b/>
          <w:color w:val="000000"/>
        </w:rPr>
        <w:t xml:space="preserve"> </w:t>
      </w:r>
      <w:r>
        <w:rPr>
          <w:rFonts w:ascii="Calibri" w:eastAsia="Calibri" w:hAnsi="Calibri" w:cs="Calibri"/>
          <w:color w:val="000000"/>
        </w:rPr>
        <w:t>Further information about our rationale and the outcomes of the discussions can be found in Appendix 4.</w:t>
      </w:r>
      <w:r>
        <w:br w:type="page"/>
      </w:r>
    </w:p>
    <w:p w14:paraId="0000024D" w14:textId="77777777" w:rsidR="001E40A1" w:rsidRDefault="007A0446">
      <w:pPr>
        <w:pStyle w:val="Heading1"/>
      </w:pPr>
      <w:bookmarkStart w:id="43" w:name="_heading=h.2u6wntf" w:colFirst="0" w:colLast="0"/>
      <w:bookmarkEnd w:id="43"/>
      <w:r>
        <w:lastRenderedPageBreak/>
        <w:t>6. Summary of Criteria</w:t>
      </w:r>
    </w:p>
    <w:p w14:paraId="0000024E" w14:textId="77777777" w:rsidR="001E40A1" w:rsidRDefault="007A0446">
      <w:pPr>
        <w:pStyle w:val="Heading2"/>
        <w:rPr>
          <w:rFonts w:ascii="Calibri" w:eastAsia="Calibri" w:hAnsi="Calibri" w:cs="Calibri"/>
          <w:sz w:val="20"/>
          <w:szCs w:val="20"/>
        </w:rPr>
      </w:pPr>
      <w:bookmarkStart w:id="44" w:name="_heading=h.19c6y18" w:colFirst="0" w:colLast="0"/>
      <w:bookmarkEnd w:id="44"/>
      <w:r>
        <w:rPr>
          <w:rFonts w:ascii="Calibri" w:eastAsia="Calibri" w:hAnsi="Calibri" w:cs="Calibri"/>
          <w:sz w:val="20"/>
          <w:szCs w:val="20"/>
        </w:rPr>
        <w:br/>
        <w:t xml:space="preserve">Criteria: </w:t>
      </w:r>
    </w:p>
    <w:p w14:paraId="0000024F" w14:textId="77777777" w:rsidR="001E40A1" w:rsidRDefault="007A044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Ships must not be dedicated to transporting fossil fuels (Crude Oil or LNG Carriers)</w:t>
      </w:r>
      <w:r>
        <w:rPr>
          <w:rFonts w:ascii="Helvetica Neue" w:eastAsia="Helvetica Neue" w:hAnsi="Helvetica Neue" w:cs="Helvetica Neue"/>
          <w:color w:val="000000"/>
          <w:sz w:val="18"/>
          <w:szCs w:val="18"/>
          <w:vertAlign w:val="superscript"/>
        </w:rPr>
        <w:footnoteReference w:id="42"/>
      </w:r>
      <w:r>
        <w:rPr>
          <w:rFonts w:ascii="Calibri" w:eastAsia="Calibri" w:hAnsi="Calibri" w:cs="Calibri"/>
          <w:color w:val="000000"/>
        </w:rPr>
        <w:t xml:space="preserve"> and: </w:t>
      </w:r>
    </w:p>
    <w:p w14:paraId="00000250" w14:textId="77777777" w:rsidR="001E40A1" w:rsidRDefault="007A044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Ships must either be specified to be zero-carbon from the year the bond is issued or, </w:t>
      </w:r>
    </w:p>
    <w:p w14:paraId="00000251" w14:textId="77777777" w:rsidR="001E40A1" w:rsidRDefault="007A044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Ships must demonstrate that the expected carbon-equivalent intensity of the ship is aligned with the decarbonisation trajectory (emissions intensity threshold) for that </w:t>
      </w:r>
      <w:r>
        <w:rPr>
          <w:rFonts w:ascii="Calibri" w:eastAsia="Calibri" w:hAnsi="Calibri" w:cs="Calibri"/>
          <w:color w:val="000000"/>
        </w:rPr>
        <w:t>ship’s type/size category (“the ship’s class”) over the lifetime of the bond.</w:t>
      </w:r>
      <w:r>
        <w:rPr>
          <w:rFonts w:ascii="Calibri" w:eastAsia="Calibri" w:hAnsi="Calibri" w:cs="Calibri"/>
          <w:color w:val="000000"/>
          <w:vertAlign w:val="superscript"/>
        </w:rPr>
        <w:footnoteReference w:id="43"/>
      </w:r>
      <w:r>
        <w:rPr>
          <w:rFonts w:ascii="Calibri" w:eastAsia="Calibri" w:hAnsi="Calibri" w:cs="Calibri"/>
          <w:color w:val="000000"/>
        </w:rPr>
        <w:t xml:space="preserve">, </w:t>
      </w:r>
      <w:r>
        <w:rPr>
          <w:rFonts w:ascii="Calibri" w:eastAsia="Calibri" w:hAnsi="Calibri" w:cs="Calibri"/>
          <w:color w:val="000000"/>
          <w:vertAlign w:val="superscript"/>
        </w:rPr>
        <w:footnoteReference w:id="44"/>
      </w:r>
      <w:r>
        <w:rPr>
          <w:rFonts w:ascii="Calibri" w:eastAsia="Calibri" w:hAnsi="Calibri" w:cs="Calibri"/>
          <w:color w:val="000000"/>
        </w:rPr>
        <w:t>,</w:t>
      </w:r>
    </w:p>
    <w:p w14:paraId="00000252" w14:textId="77777777" w:rsidR="001E40A1" w:rsidRDefault="007A0446">
      <w:pPr>
        <w:numPr>
          <w:ilvl w:val="1"/>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Ships that are not net-zero must provide a managed plan that shows how the ship can remain under the emissions intensity threshold during the operational life of the ship.</w:t>
      </w:r>
      <w:r>
        <w:rPr>
          <w:rFonts w:ascii="Calibri" w:eastAsia="Calibri" w:hAnsi="Calibri" w:cs="Calibri"/>
          <w:color w:val="000000"/>
        </w:rPr>
        <w:t xml:space="preserve"> </w:t>
      </w:r>
    </w:p>
    <w:p w14:paraId="00000253" w14:textId="77777777" w:rsidR="001E40A1" w:rsidRDefault="001E40A1">
      <w:pPr>
        <w:rPr>
          <w:rFonts w:ascii="Calibri" w:eastAsia="Calibri" w:hAnsi="Calibri" w:cs="Calibri"/>
        </w:rPr>
      </w:pPr>
    </w:p>
    <w:p w14:paraId="00000254" w14:textId="77777777" w:rsidR="001E40A1" w:rsidRDefault="007A0446">
      <w:pPr>
        <w:pStyle w:val="Heading2"/>
        <w:rPr>
          <w:rFonts w:ascii="Calibri" w:eastAsia="Calibri" w:hAnsi="Calibri" w:cs="Calibri"/>
          <w:sz w:val="20"/>
          <w:szCs w:val="20"/>
        </w:rPr>
      </w:pPr>
      <w:bookmarkStart w:id="45" w:name="_heading=h.3tbugp1" w:colFirst="0" w:colLast="0"/>
      <w:bookmarkEnd w:id="45"/>
      <w:r>
        <w:rPr>
          <w:rFonts w:ascii="Calibri" w:eastAsia="Calibri" w:hAnsi="Calibri" w:cs="Calibri"/>
          <w:sz w:val="20"/>
          <w:szCs w:val="20"/>
        </w:rPr>
        <w:t xml:space="preserve">Metric: </w:t>
      </w:r>
    </w:p>
    <w:p w14:paraId="00000255" w14:textId="77777777" w:rsidR="001E40A1" w:rsidRDefault="007A0446">
      <w:pPr>
        <w:jc w:val="both"/>
        <w:rPr>
          <w:rFonts w:ascii="Calibri" w:eastAsia="Calibri" w:hAnsi="Calibri" w:cs="Calibri"/>
        </w:rPr>
      </w:pPr>
      <w:r>
        <w:rPr>
          <w:rFonts w:ascii="Calibri" w:eastAsia="Calibri" w:hAnsi="Calibri" w:cs="Calibri"/>
          <w:b/>
        </w:rPr>
        <w:t>Annual Efficiency Ratio (AER):</w:t>
      </w:r>
      <w:r>
        <w:rPr>
          <w:rFonts w:ascii="Calibri" w:eastAsia="Calibri" w:hAnsi="Calibri" w:cs="Calibri"/>
        </w:rPr>
        <w:t xml:space="preserve"> The ratio of a ship's carbon emissions per actual capacity-distance (e.g., gCo2e/t-nm). The IMO’s Data Collection System (DCS) enables AER to be calculated for all ships 5,000 GT and above trading on international</w:t>
      </w:r>
      <w:r>
        <w:rPr>
          <w:rFonts w:ascii="Calibri" w:eastAsia="Calibri" w:hAnsi="Calibri" w:cs="Calibri"/>
        </w:rPr>
        <w:t xml:space="preserve"> voyages. Data will not be made publicly available, but available on the consent of the shipowner. Estimated data can be used but has lower accuracy. </w:t>
      </w:r>
    </w:p>
    <w:p w14:paraId="00000256" w14:textId="77777777" w:rsidR="001E40A1" w:rsidRDefault="007A0446">
      <w:pPr>
        <w:jc w:val="both"/>
        <w:rPr>
          <w:rFonts w:ascii="Calibri" w:eastAsia="Calibri" w:hAnsi="Calibri" w:cs="Calibri"/>
        </w:rPr>
      </w:pPr>
      <w:r>
        <w:rPr>
          <w:rFonts w:ascii="Calibri" w:eastAsia="Calibri" w:hAnsi="Calibri" w:cs="Calibri"/>
        </w:rPr>
        <w:br/>
      </w:r>
      <w:r>
        <w:rPr>
          <w:rFonts w:ascii="Calibri" w:eastAsia="Calibri" w:hAnsi="Calibri" w:cs="Calibri"/>
          <w:b/>
        </w:rPr>
        <w:t>Energy Efficiency Operational Index (EEOI):</w:t>
      </w:r>
      <w:r>
        <w:rPr>
          <w:rFonts w:ascii="Calibri" w:eastAsia="Calibri" w:hAnsi="Calibri" w:cs="Calibri"/>
        </w:rPr>
        <w:t xml:space="preserve"> The total operational emissions to satisfy transport work de</w:t>
      </w:r>
      <w:r>
        <w:rPr>
          <w:rFonts w:ascii="Calibri" w:eastAsia="Calibri" w:hAnsi="Calibri" w:cs="Calibri"/>
        </w:rPr>
        <w:t xml:space="preserve">manded, this is usually quantified over a period of time which encompasses multiple voyages (e.g. a year). It measures the ratio of a ship's carbon emissions per unit of transport work (e.g., cargo x nm sailed). The EU MRV has made EEOI publicly available </w:t>
      </w:r>
      <w:r>
        <w:rPr>
          <w:rFonts w:ascii="Calibri" w:eastAsia="Calibri" w:hAnsi="Calibri" w:cs="Calibri"/>
        </w:rPr>
        <w:t xml:space="preserve">for voyages into and out of the EU. </w:t>
      </w:r>
    </w:p>
    <w:p w14:paraId="00000257" w14:textId="77777777" w:rsidR="001E40A1" w:rsidRDefault="001E40A1">
      <w:pPr>
        <w:rPr>
          <w:rFonts w:ascii="Calibri" w:eastAsia="Calibri" w:hAnsi="Calibri" w:cs="Calibri"/>
        </w:rPr>
      </w:pPr>
    </w:p>
    <w:p w14:paraId="00000258" w14:textId="77777777" w:rsidR="001E40A1" w:rsidRDefault="007A0446">
      <w:pPr>
        <w:pStyle w:val="Heading2"/>
        <w:rPr>
          <w:rFonts w:ascii="Calibri" w:eastAsia="Calibri" w:hAnsi="Calibri" w:cs="Calibri"/>
          <w:sz w:val="20"/>
          <w:szCs w:val="20"/>
        </w:rPr>
      </w:pPr>
      <w:bookmarkStart w:id="46" w:name="_heading=h.28h4qwu" w:colFirst="0" w:colLast="0"/>
      <w:bookmarkEnd w:id="46"/>
      <w:r>
        <w:rPr>
          <w:rFonts w:ascii="Calibri" w:eastAsia="Calibri" w:hAnsi="Calibri" w:cs="Calibri"/>
          <w:sz w:val="20"/>
          <w:szCs w:val="20"/>
        </w:rPr>
        <w:t xml:space="preserve">Managed Reduction Plans: </w:t>
      </w:r>
    </w:p>
    <w:p w14:paraId="00000259" w14:textId="77777777" w:rsidR="001E40A1" w:rsidRDefault="007A0446">
      <w:pPr>
        <w:jc w:val="both"/>
        <w:rPr>
          <w:rFonts w:ascii="Calibri" w:eastAsia="Calibri" w:hAnsi="Calibri" w:cs="Calibri"/>
        </w:rPr>
      </w:pPr>
      <w:r>
        <w:rPr>
          <w:rFonts w:ascii="Calibri" w:eastAsia="Calibri" w:hAnsi="Calibri" w:cs="Calibri"/>
        </w:rPr>
        <w:t>In the case where the underlying asset is not already zero emissions, the bond issuer is required to provide a managed reduction plan that states the compatibility and plans to add retrofit te</w:t>
      </w:r>
      <w:r>
        <w:rPr>
          <w:rFonts w:ascii="Calibri" w:eastAsia="Calibri" w:hAnsi="Calibri" w:cs="Calibri"/>
        </w:rPr>
        <w:t>chnologies or a fuel switch that would enable the asset to comply and also explain how these plans are cost-effective.</w:t>
      </w:r>
      <w:r>
        <w:rPr>
          <w:rFonts w:ascii="Helvetica Neue" w:eastAsia="Helvetica Neue" w:hAnsi="Helvetica Neue" w:cs="Helvetica Neue"/>
          <w:color w:val="000000"/>
          <w:sz w:val="18"/>
          <w:szCs w:val="18"/>
          <w:vertAlign w:val="superscript"/>
        </w:rPr>
        <w:footnoteReference w:id="45"/>
      </w:r>
      <w:r>
        <w:rPr>
          <w:rFonts w:ascii="Calibri" w:eastAsia="Calibri" w:hAnsi="Calibri" w:cs="Calibri"/>
        </w:rPr>
        <w:t xml:space="preserve"> This reduction plan can rely on future technologies/fuels that are not available today but are expected to become available and cost-ef</w:t>
      </w:r>
      <w:r>
        <w:rPr>
          <w:rFonts w:ascii="Calibri" w:eastAsia="Calibri" w:hAnsi="Calibri" w:cs="Calibri"/>
        </w:rPr>
        <w:t xml:space="preserve">fective in the future, in time for the continued compliance with the decarbonisation trajectory. </w:t>
      </w:r>
    </w:p>
    <w:p w14:paraId="0000025A" w14:textId="77777777" w:rsidR="001E40A1" w:rsidRDefault="001E40A1">
      <w:pPr>
        <w:rPr>
          <w:rFonts w:ascii="Calibri" w:eastAsia="Calibri" w:hAnsi="Calibri" w:cs="Calibri"/>
        </w:rPr>
      </w:pPr>
    </w:p>
    <w:p w14:paraId="0000025B" w14:textId="77777777" w:rsidR="001E40A1" w:rsidRDefault="007A0446">
      <w:pPr>
        <w:rPr>
          <w:rFonts w:ascii="Calibri" w:eastAsia="Calibri" w:hAnsi="Calibri" w:cs="Calibri"/>
        </w:rPr>
      </w:pPr>
      <w:r>
        <w:rPr>
          <w:rFonts w:ascii="Calibri" w:eastAsia="Calibri" w:hAnsi="Calibri" w:cs="Calibri"/>
        </w:rPr>
        <w:t>The list of candidate fuels for use in the managed reduction plan will be regularly reviewed, but initially includes:</w:t>
      </w:r>
      <w:r>
        <w:rPr>
          <w:rFonts w:ascii="Calibri" w:eastAsia="Calibri" w:hAnsi="Calibri" w:cs="Calibri"/>
          <w:color w:val="000000"/>
          <w:vertAlign w:val="superscript"/>
        </w:rPr>
        <w:footnoteReference w:id="46"/>
      </w:r>
    </w:p>
    <w:p w14:paraId="0000025C" w14:textId="77777777" w:rsidR="001E40A1" w:rsidRDefault="007A044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Hydrogen</w:t>
      </w:r>
    </w:p>
    <w:p w14:paraId="0000025D" w14:textId="77777777" w:rsidR="001E40A1" w:rsidRDefault="007A044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Ammonia</w:t>
      </w:r>
    </w:p>
    <w:p w14:paraId="0000025E" w14:textId="77777777" w:rsidR="001E40A1" w:rsidRDefault="007A044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Advanced Bioenergy </w:t>
      </w:r>
    </w:p>
    <w:p w14:paraId="0000025F" w14:textId="77777777" w:rsidR="001E40A1" w:rsidRDefault="007A044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Methanol (from bio or synthetic feedstock)</w:t>
      </w:r>
    </w:p>
    <w:p w14:paraId="00000260" w14:textId="77777777" w:rsidR="001E40A1" w:rsidRDefault="007A044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Wind</w:t>
      </w:r>
    </w:p>
    <w:p w14:paraId="00000261" w14:textId="77777777" w:rsidR="001E40A1" w:rsidRDefault="007A044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Electric</w:t>
      </w:r>
    </w:p>
    <w:p w14:paraId="00000262" w14:textId="77777777" w:rsidR="001E40A1" w:rsidRDefault="007A0446">
      <w:pPr>
        <w:pStyle w:val="Heading2"/>
        <w:rPr>
          <w:rFonts w:ascii="Calibri" w:eastAsia="Calibri" w:hAnsi="Calibri" w:cs="Calibri"/>
          <w:sz w:val="20"/>
          <w:szCs w:val="20"/>
        </w:rPr>
      </w:pPr>
      <w:bookmarkStart w:id="47" w:name="_heading=h.nmf14n" w:colFirst="0" w:colLast="0"/>
      <w:bookmarkEnd w:id="47"/>
      <w:r>
        <w:rPr>
          <w:rFonts w:ascii="Calibri" w:eastAsia="Calibri" w:hAnsi="Calibri" w:cs="Calibri"/>
          <w:sz w:val="20"/>
          <w:szCs w:val="20"/>
        </w:rPr>
        <w:t>The managed plan should include the following details:</w:t>
      </w:r>
    </w:p>
    <w:p w14:paraId="00000263" w14:textId="77777777" w:rsidR="001E40A1" w:rsidRDefault="007A044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time period within which a significant fuel switch will be necessary</w:t>
      </w:r>
    </w:p>
    <w:p w14:paraId="00000264" w14:textId="77777777" w:rsidR="001E40A1" w:rsidRDefault="007A044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Any modifications required to fuel storage systems </w:t>
      </w:r>
      <w:r>
        <w:rPr>
          <w:rFonts w:ascii="Calibri" w:eastAsia="Calibri" w:hAnsi="Calibri" w:cs="Calibri"/>
          <w:color w:val="000000"/>
        </w:rPr>
        <w:t>onboard (including any additional space required and how this modifies cargo carrying capacity)</w:t>
      </w:r>
    </w:p>
    <w:p w14:paraId="00000265" w14:textId="77777777" w:rsidR="001E40A1" w:rsidRDefault="007A044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modifications required to fuel handling systems (including bunkering systems)</w:t>
      </w:r>
    </w:p>
    <w:p w14:paraId="00000266" w14:textId="77777777" w:rsidR="001E40A1" w:rsidRDefault="007A044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modifications required to machinery</w:t>
      </w:r>
    </w:p>
    <w:p w14:paraId="00000267" w14:textId="77777777" w:rsidR="001E40A1" w:rsidRDefault="007A0446">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estimated total additional cost</w:t>
      </w:r>
    </w:p>
    <w:p w14:paraId="00000268" w14:textId="77777777" w:rsidR="001E40A1" w:rsidRDefault="007A0446">
      <w:pPr>
        <w:rPr>
          <w:rFonts w:ascii="Calibri" w:eastAsia="Calibri" w:hAnsi="Calibri" w:cs="Calibri"/>
        </w:rPr>
      </w:pPr>
      <w:r>
        <w:rPr>
          <w:rFonts w:ascii="Calibri" w:eastAsia="Calibri" w:hAnsi="Calibri" w:cs="Calibri"/>
        </w:rPr>
        <w:lastRenderedPageBreak/>
        <w:t>In</w:t>
      </w:r>
      <w:r>
        <w:rPr>
          <w:rFonts w:ascii="Calibri" w:eastAsia="Calibri" w:hAnsi="Calibri" w:cs="Calibri"/>
        </w:rPr>
        <w:t xml:space="preserve"> essence, issuers must demonstrate that the expected carbon-equivalent intensity of the ship is aligned with the decarbonisation trajectory (emissions intensity threshold) of the ship’s type/size category (“the ship’s class”) over the lifetime of the bond,</w:t>
      </w:r>
      <w:r>
        <w:rPr>
          <w:rFonts w:ascii="Calibri" w:eastAsia="Calibri" w:hAnsi="Calibri" w:cs="Calibri"/>
        </w:rPr>
        <w:t xml:space="preserve"> reaching zero emissions by 2050.</w:t>
      </w:r>
      <w:r>
        <w:rPr>
          <w:rFonts w:ascii="Calibri" w:eastAsia="Calibri" w:hAnsi="Calibri" w:cs="Calibri"/>
          <w:vertAlign w:val="superscript"/>
        </w:rPr>
        <w:footnoteReference w:id="47"/>
      </w:r>
      <w:r>
        <w:rPr>
          <w:rFonts w:ascii="Calibri" w:eastAsia="Calibri" w:hAnsi="Calibri" w:cs="Calibri"/>
        </w:rPr>
        <w:t>,</w:t>
      </w:r>
      <w:r>
        <w:rPr>
          <w:rFonts w:ascii="Calibri" w:eastAsia="Calibri" w:hAnsi="Calibri" w:cs="Calibri"/>
          <w:vertAlign w:val="superscript"/>
        </w:rPr>
        <w:footnoteReference w:id="48"/>
      </w:r>
      <w:r>
        <w:rPr>
          <w:rFonts w:ascii="Calibri" w:eastAsia="Calibri" w:hAnsi="Calibri" w:cs="Calibri"/>
        </w:rPr>
        <w:t xml:space="preserve"> Issuers are required to show that each asset targeted for the Use of Proceeds from a Certified bond, is operating below the emissions intensity threshold in each respective year that the bond is outstanding. Ships tha</w:t>
      </w:r>
      <w:r>
        <w:rPr>
          <w:rFonts w:ascii="Calibri" w:eastAsia="Calibri" w:hAnsi="Calibri" w:cs="Calibri"/>
        </w:rPr>
        <w:t>t are not zero-emissions must provide a managed reduction plan (MRP) that shows how the ship can remain under the emissions intensity threshold during the operational life of the ship. Figure 7 below provides an overview of the eligibility criteria for cer</w:t>
      </w:r>
      <w:r>
        <w:rPr>
          <w:rFonts w:ascii="Calibri" w:eastAsia="Calibri" w:hAnsi="Calibri" w:cs="Calibri"/>
        </w:rPr>
        <w:t xml:space="preserve">tifying a vessel under the Climate Bonds Standard and Certification scheme. </w:t>
      </w:r>
    </w:p>
    <w:p w14:paraId="00000269" w14:textId="77777777" w:rsidR="001E40A1" w:rsidRDefault="001E40A1">
      <w:pPr>
        <w:rPr>
          <w:rFonts w:ascii="Calibri" w:eastAsia="Calibri" w:hAnsi="Calibri" w:cs="Calibri"/>
          <w:b/>
        </w:rPr>
      </w:pPr>
    </w:p>
    <w:p w14:paraId="0000026A" w14:textId="77777777" w:rsidR="001E40A1" w:rsidRDefault="007A0446">
      <w:pPr>
        <w:rPr>
          <w:rFonts w:ascii="Calibri" w:eastAsia="Calibri" w:hAnsi="Calibri" w:cs="Calibri"/>
          <w:b/>
        </w:rPr>
      </w:pPr>
      <w:r>
        <w:rPr>
          <w:rFonts w:ascii="Calibri" w:eastAsia="Calibri" w:hAnsi="Calibri" w:cs="Calibri"/>
          <w:b/>
        </w:rPr>
        <w:t xml:space="preserve">Figure 7. below provides an overview of the eligibility criteria for certifying a vessel under the Climate Bonds Standard and Certification scheme. </w:t>
      </w:r>
    </w:p>
    <w:p w14:paraId="0000026B" w14:textId="77777777" w:rsidR="001E40A1" w:rsidRDefault="007A0446">
      <w:pPr>
        <w:rPr>
          <w:rFonts w:ascii="Calibri" w:eastAsia="Calibri" w:hAnsi="Calibri" w:cs="Calibri"/>
        </w:rPr>
      </w:pPr>
      <w:r>
        <w:rPr>
          <w:rFonts w:ascii="Calibri" w:eastAsia="Calibri" w:hAnsi="Calibri" w:cs="Calibri"/>
        </w:rPr>
        <w:t xml:space="preserve"> </w:t>
      </w:r>
    </w:p>
    <w:p w14:paraId="0000026C" w14:textId="77777777" w:rsidR="001E40A1" w:rsidRDefault="001E40A1">
      <w:pPr>
        <w:jc w:val="center"/>
        <w:rPr>
          <w:rFonts w:ascii="Calibri" w:eastAsia="Calibri" w:hAnsi="Calibri" w:cs="Calibri"/>
        </w:rPr>
      </w:pPr>
    </w:p>
    <w:p w14:paraId="0000026D" w14:textId="77777777" w:rsidR="001E40A1" w:rsidRDefault="007A0446">
      <w:pPr>
        <w:jc w:val="center"/>
        <w:rPr>
          <w:rFonts w:ascii="Calibri" w:eastAsia="Calibri" w:hAnsi="Calibri" w:cs="Calibri"/>
        </w:rPr>
      </w:pPr>
      <w:r>
        <w:rPr>
          <w:noProof/>
        </w:rPr>
        <w:drawing>
          <wp:inline distT="0" distB="0" distL="0" distR="0">
            <wp:extent cx="5758462" cy="5297943"/>
            <wp:effectExtent l="0" t="0" r="0" b="0"/>
            <wp:docPr id="28" name="image10.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screenshot of a cell phone&#10;&#10;Description automatically generated"/>
                    <pic:cNvPicPr preferRelativeResize="0"/>
                  </pic:nvPicPr>
                  <pic:blipFill>
                    <a:blip r:embed="rId22"/>
                    <a:srcRect t="5374" b="3913"/>
                    <a:stretch>
                      <a:fillRect/>
                    </a:stretch>
                  </pic:blipFill>
                  <pic:spPr>
                    <a:xfrm>
                      <a:off x="0" y="0"/>
                      <a:ext cx="5758462" cy="5297943"/>
                    </a:xfrm>
                    <a:prstGeom prst="rect">
                      <a:avLst/>
                    </a:prstGeom>
                    <a:ln/>
                  </pic:spPr>
                </pic:pic>
              </a:graphicData>
            </a:graphic>
          </wp:inline>
        </w:drawing>
      </w:r>
    </w:p>
    <w:p w14:paraId="0000026E" w14:textId="77777777" w:rsidR="001E40A1" w:rsidRDefault="007A0446">
      <w:pPr>
        <w:keepNext/>
        <w:keepLines/>
        <w:pBdr>
          <w:top w:val="nil"/>
          <w:left w:val="nil"/>
          <w:bottom w:val="nil"/>
          <w:right w:val="nil"/>
          <w:between w:val="nil"/>
        </w:pBdr>
        <w:spacing w:before="480"/>
        <w:rPr>
          <w:rFonts w:ascii="Calibri" w:eastAsia="Calibri" w:hAnsi="Calibri" w:cs="Calibri"/>
          <w:color w:val="2C6F95"/>
        </w:rPr>
      </w:pPr>
      <w:r>
        <w:br w:type="page"/>
      </w:r>
    </w:p>
    <w:p w14:paraId="0000026F" w14:textId="77777777" w:rsidR="001E40A1" w:rsidRDefault="007A0446">
      <w:pPr>
        <w:pStyle w:val="Heading1"/>
      </w:pPr>
      <w:bookmarkStart w:id="48" w:name="_heading=h.37m2jsg" w:colFirst="0" w:colLast="0"/>
      <w:bookmarkEnd w:id="48"/>
      <w:r>
        <w:lastRenderedPageBreak/>
        <w:t>Appendix 1: TWG and IWG members</w:t>
      </w:r>
    </w:p>
    <w:p w14:paraId="00000270" w14:textId="77777777" w:rsidR="001E40A1" w:rsidRDefault="007A0446">
      <w:pPr>
        <w:rPr>
          <w:rFonts w:ascii="Calibri" w:eastAsia="Calibri" w:hAnsi="Calibri" w:cs="Calibri"/>
          <w:sz w:val="22"/>
          <w:szCs w:val="22"/>
        </w:rPr>
      </w:pPr>
      <w:r>
        <w:rPr>
          <w:rFonts w:ascii="Calibri" w:eastAsia="Calibri" w:hAnsi="Calibri" w:cs="Calibri"/>
        </w:rPr>
        <w:br/>
      </w:r>
      <w:r>
        <w:rPr>
          <w:rFonts w:ascii="Calibri" w:eastAsia="Calibri" w:hAnsi="Calibri" w:cs="Calibri"/>
          <w:b/>
          <w:sz w:val="22"/>
          <w:szCs w:val="22"/>
        </w:rPr>
        <w:t>Lead Consultant:</w:t>
      </w:r>
      <w:r>
        <w:rPr>
          <w:rFonts w:ascii="Calibri" w:eastAsia="Calibri" w:hAnsi="Calibri" w:cs="Calibri"/>
          <w:b/>
          <w:sz w:val="22"/>
          <w:szCs w:val="22"/>
        </w:rPr>
        <w:br/>
      </w:r>
      <w:r>
        <w:rPr>
          <w:rFonts w:ascii="Calibri" w:eastAsia="Calibri" w:hAnsi="Calibri" w:cs="Calibri"/>
          <w:sz w:val="22"/>
          <w:szCs w:val="22"/>
        </w:rPr>
        <w:t>Tristan Smith, University College London</w:t>
      </w:r>
    </w:p>
    <w:p w14:paraId="00000271" w14:textId="77777777" w:rsidR="001E40A1" w:rsidRDefault="007A0446">
      <w:pPr>
        <w:rPr>
          <w:rFonts w:ascii="Calibri" w:eastAsia="Calibri" w:hAnsi="Calibri" w:cs="Calibri"/>
          <w:sz w:val="22"/>
          <w:szCs w:val="22"/>
        </w:rPr>
      </w:pPr>
      <w:r>
        <w:rPr>
          <w:rFonts w:ascii="Calibri" w:eastAsia="Calibri" w:hAnsi="Calibri" w:cs="Calibri"/>
          <w:sz w:val="22"/>
          <w:szCs w:val="22"/>
        </w:rPr>
        <w:t>Sophie Parker, University College London</w:t>
      </w:r>
    </w:p>
    <w:p w14:paraId="00000272" w14:textId="77777777" w:rsidR="001E40A1" w:rsidRDefault="001E40A1">
      <w:pPr>
        <w:pBdr>
          <w:top w:val="nil"/>
          <w:left w:val="nil"/>
          <w:bottom w:val="nil"/>
          <w:right w:val="nil"/>
          <w:between w:val="nil"/>
        </w:pBdr>
        <w:rPr>
          <w:rFonts w:ascii="Calibri" w:eastAsia="Calibri" w:hAnsi="Calibri" w:cs="Calibri"/>
          <w:color w:val="000000"/>
          <w:sz w:val="22"/>
          <w:szCs w:val="22"/>
        </w:rPr>
      </w:pPr>
    </w:p>
    <w:tbl>
      <w:tblPr>
        <w:tblStyle w:val="a7"/>
        <w:tblW w:w="91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15"/>
        <w:gridCol w:w="4337"/>
      </w:tblGrid>
      <w:tr w:rsidR="001E40A1" w14:paraId="3B768F85" w14:textId="77777777" w:rsidTr="0011183B">
        <w:trPr>
          <w:trHeight w:val="1405"/>
        </w:trPr>
        <w:tc>
          <w:tcPr>
            <w:tcW w:w="4815" w:type="dxa"/>
          </w:tcPr>
          <w:p w14:paraId="00000273" w14:textId="77777777" w:rsidR="001E40A1" w:rsidRPr="0011183B" w:rsidRDefault="007A0446">
            <w:pPr>
              <w:rPr>
                <w:rFonts w:ascii="Calibri" w:eastAsia="Calibri" w:hAnsi="Calibri" w:cs="Calibri"/>
                <w:b/>
                <w:color w:val="000000" w:themeColor="text1"/>
                <w:sz w:val="22"/>
                <w:szCs w:val="22"/>
              </w:rPr>
            </w:pPr>
            <w:r w:rsidRPr="0011183B">
              <w:rPr>
                <w:rFonts w:ascii="Calibri" w:eastAsia="Calibri" w:hAnsi="Calibri" w:cs="Calibri"/>
                <w:b/>
                <w:color w:val="000000" w:themeColor="text1"/>
                <w:sz w:val="22"/>
                <w:szCs w:val="22"/>
              </w:rPr>
              <w:t>Adaptation &amp; Resilience Experts:</w:t>
            </w:r>
          </w:p>
          <w:p w14:paraId="00000274"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Adolf Ng, University of Manitoba</w:t>
            </w:r>
          </w:p>
          <w:p w14:paraId="00000275"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 xml:space="preserve">Mawuli Afenyo, University of Manitoba </w:t>
            </w:r>
          </w:p>
          <w:p w14:paraId="00000276"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Roozbeh Panhi, Uni</w:t>
            </w:r>
            <w:r w:rsidRPr="0011183B">
              <w:rPr>
                <w:rFonts w:ascii="Calibri" w:eastAsia="Calibri" w:hAnsi="Calibri" w:cs="Calibri"/>
                <w:color w:val="000000" w:themeColor="text1"/>
                <w:sz w:val="22"/>
                <w:szCs w:val="22"/>
              </w:rPr>
              <w:t xml:space="preserve">versity of Manitoba </w:t>
            </w:r>
          </w:p>
          <w:p w14:paraId="00000277" w14:textId="77777777" w:rsidR="001E40A1" w:rsidRDefault="001E40A1">
            <w:pPr>
              <w:rPr>
                <w:rFonts w:ascii="Calibri" w:eastAsia="Calibri" w:hAnsi="Calibri" w:cs="Calibri"/>
                <w:color w:val="000000"/>
                <w:sz w:val="22"/>
                <w:szCs w:val="22"/>
              </w:rPr>
            </w:pPr>
          </w:p>
          <w:p w14:paraId="00000278" w14:textId="77777777" w:rsidR="001E40A1" w:rsidRDefault="007A0446">
            <w:pPr>
              <w:rPr>
                <w:rFonts w:ascii="Calibri" w:eastAsia="Calibri" w:hAnsi="Calibri" w:cs="Calibri"/>
                <w:b/>
                <w:color w:val="000000"/>
                <w:sz w:val="22"/>
                <w:szCs w:val="22"/>
              </w:rPr>
            </w:pPr>
            <w:r>
              <w:rPr>
                <w:rFonts w:ascii="Calibri" w:eastAsia="Calibri" w:hAnsi="Calibri" w:cs="Calibri"/>
                <w:b/>
                <w:color w:val="000000"/>
                <w:sz w:val="22"/>
                <w:szCs w:val="22"/>
              </w:rPr>
              <w:t xml:space="preserve">Technical Working Group Members: </w:t>
            </w:r>
          </w:p>
          <w:p w14:paraId="00000279" w14:textId="6CA961A0"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Aoife O’Leary, Environmental Defense Fund</w:t>
            </w:r>
            <w:r w:rsidRPr="0011183B">
              <w:rPr>
                <w:rFonts w:ascii="Calibri" w:eastAsia="Calibri" w:hAnsi="Calibri" w:cs="Calibri"/>
                <w:color w:val="000000" w:themeColor="text1"/>
                <w:sz w:val="22"/>
                <w:szCs w:val="22"/>
              </w:rPr>
              <w:br/>
              <w:t>Andrew Gazal, ESG Tech</w:t>
            </w:r>
            <w:r w:rsidRPr="0011183B">
              <w:rPr>
                <w:rFonts w:ascii="Calibri" w:eastAsia="Calibri" w:hAnsi="Calibri" w:cs="Calibri"/>
                <w:color w:val="000000" w:themeColor="text1"/>
                <w:sz w:val="22"/>
                <w:szCs w:val="22"/>
              </w:rPr>
              <w:br/>
              <w:t>Peter Chant, Fremco</w:t>
            </w:r>
            <w:r w:rsidRPr="0011183B">
              <w:rPr>
                <w:rFonts w:ascii="Calibri" w:eastAsia="Calibri" w:hAnsi="Calibri" w:cs="Calibri"/>
                <w:color w:val="000000" w:themeColor="text1"/>
                <w:sz w:val="22"/>
                <w:szCs w:val="22"/>
              </w:rPr>
              <w:br/>
              <w:t>Alison Morris, Fremco</w:t>
            </w:r>
            <w:r w:rsidRPr="0011183B">
              <w:rPr>
                <w:rFonts w:ascii="Calibri" w:eastAsia="Calibri" w:hAnsi="Calibri" w:cs="Calibri"/>
                <w:color w:val="000000" w:themeColor="text1"/>
                <w:sz w:val="22"/>
                <w:szCs w:val="22"/>
              </w:rPr>
              <w:br/>
              <w:t>Johannah Christensen, Global Maritime Forum</w:t>
            </w:r>
            <w:r w:rsidRPr="0011183B">
              <w:rPr>
                <w:rFonts w:ascii="Calibri" w:eastAsia="Calibri" w:hAnsi="Calibri" w:cs="Calibri"/>
                <w:color w:val="000000" w:themeColor="text1"/>
                <w:sz w:val="22"/>
                <w:szCs w:val="22"/>
              </w:rPr>
              <w:br/>
            </w:r>
            <w:r w:rsidRPr="0011183B">
              <w:rPr>
                <w:rFonts w:ascii="Calibri" w:eastAsia="Calibri" w:hAnsi="Calibri" w:cs="Calibri"/>
                <w:color w:val="000000" w:themeColor="text1"/>
                <w:sz w:val="22"/>
                <w:szCs w:val="22"/>
              </w:rPr>
              <w:t>Katharine Palmer, Lloyd’s Register</w:t>
            </w:r>
            <w:r w:rsidRPr="0011183B">
              <w:rPr>
                <w:rFonts w:ascii="Calibri" w:eastAsia="Calibri" w:hAnsi="Calibri" w:cs="Calibri"/>
                <w:color w:val="000000" w:themeColor="text1"/>
                <w:sz w:val="22"/>
                <w:szCs w:val="22"/>
              </w:rPr>
              <w:br/>
              <w:t>Michael Adams, Ocean Assets Institute</w:t>
            </w:r>
            <w:r w:rsidRPr="0011183B">
              <w:rPr>
                <w:rFonts w:ascii="Calibri" w:eastAsia="Calibri" w:hAnsi="Calibri" w:cs="Calibri"/>
                <w:color w:val="000000" w:themeColor="text1"/>
                <w:sz w:val="22"/>
                <w:szCs w:val="22"/>
              </w:rPr>
              <w:br/>
              <w:t xml:space="preserve">James Mitchell, Rocky Mountain Institute </w:t>
            </w:r>
            <w:r w:rsidRPr="0011183B">
              <w:rPr>
                <w:rFonts w:ascii="Calibri" w:eastAsia="Calibri" w:hAnsi="Calibri" w:cs="Calibri"/>
                <w:color w:val="000000" w:themeColor="text1"/>
                <w:sz w:val="22"/>
                <w:szCs w:val="22"/>
              </w:rPr>
              <w:br/>
              <w:t>Diane Gilpin, Smart Green Shipping Alliance</w:t>
            </w:r>
            <w:r w:rsidRPr="0011183B">
              <w:rPr>
                <w:rFonts w:ascii="Calibri" w:eastAsia="Calibri" w:hAnsi="Calibri" w:cs="Calibri"/>
                <w:color w:val="000000" w:themeColor="text1"/>
                <w:sz w:val="22"/>
                <w:szCs w:val="22"/>
              </w:rPr>
              <w:br/>
              <w:t>David Connolly, Southampton University</w:t>
            </w:r>
            <w:r w:rsidRPr="0011183B">
              <w:rPr>
                <w:rFonts w:ascii="Calibri" w:eastAsia="Calibri" w:hAnsi="Calibri" w:cs="Calibri"/>
                <w:color w:val="000000" w:themeColor="text1"/>
                <w:sz w:val="22"/>
                <w:szCs w:val="22"/>
              </w:rPr>
              <w:br/>
              <w:t xml:space="preserve">Bruce Anderson, Starcrest Consulting </w:t>
            </w:r>
            <w:r w:rsidRPr="0011183B">
              <w:rPr>
                <w:rFonts w:ascii="Calibri" w:eastAsia="Calibri" w:hAnsi="Calibri" w:cs="Calibri"/>
                <w:color w:val="000000" w:themeColor="text1"/>
                <w:sz w:val="22"/>
                <w:szCs w:val="22"/>
              </w:rPr>
              <w:br/>
              <w:t>Nicole Rencoret, Sus</w:t>
            </w:r>
            <w:r w:rsidRPr="0011183B">
              <w:rPr>
                <w:rFonts w:ascii="Calibri" w:eastAsia="Calibri" w:hAnsi="Calibri" w:cs="Calibri"/>
                <w:color w:val="000000" w:themeColor="text1"/>
                <w:sz w:val="22"/>
                <w:szCs w:val="22"/>
              </w:rPr>
              <w:t xml:space="preserve">tainable Shipping Initiative </w:t>
            </w:r>
            <w:r w:rsidRPr="0011183B">
              <w:rPr>
                <w:rFonts w:ascii="Calibri" w:eastAsia="Calibri" w:hAnsi="Calibri" w:cs="Calibri"/>
                <w:color w:val="000000" w:themeColor="text1"/>
                <w:sz w:val="22"/>
                <w:szCs w:val="22"/>
              </w:rPr>
              <w:br/>
              <w:t>Andrew Stephens, Sustainable Shipping Initiative</w:t>
            </w:r>
            <w:r w:rsidRPr="0011183B">
              <w:rPr>
                <w:rFonts w:ascii="Calibri" w:eastAsia="Calibri" w:hAnsi="Calibri" w:cs="Calibri"/>
                <w:color w:val="000000" w:themeColor="text1"/>
                <w:sz w:val="22"/>
                <w:szCs w:val="22"/>
              </w:rPr>
              <w:br/>
              <w:t>John Broderick</w:t>
            </w:r>
          </w:p>
          <w:p w14:paraId="0000027A" w14:textId="77777777" w:rsidR="001E40A1" w:rsidRDefault="001E40A1">
            <w:pPr>
              <w:rPr>
                <w:rFonts w:ascii="Calibri" w:eastAsia="Calibri" w:hAnsi="Calibri" w:cs="Calibri"/>
                <w:sz w:val="22"/>
                <w:szCs w:val="22"/>
              </w:rPr>
            </w:pPr>
          </w:p>
          <w:p w14:paraId="0000027B" w14:textId="77777777" w:rsidR="001E40A1" w:rsidRDefault="001E40A1">
            <w:pPr>
              <w:rPr>
                <w:rFonts w:ascii="Calibri" w:eastAsia="Calibri" w:hAnsi="Calibri" w:cs="Calibri"/>
                <w:sz w:val="22"/>
                <w:szCs w:val="22"/>
              </w:rPr>
            </w:pPr>
          </w:p>
        </w:tc>
        <w:tc>
          <w:tcPr>
            <w:tcW w:w="4337" w:type="dxa"/>
          </w:tcPr>
          <w:p w14:paraId="0000027C"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b/>
                <w:color w:val="000000" w:themeColor="text1"/>
                <w:sz w:val="22"/>
                <w:szCs w:val="22"/>
              </w:rPr>
              <w:t>Industry Working Group Members:</w:t>
            </w:r>
            <w:r>
              <w:rPr>
                <w:rFonts w:ascii="Calibri" w:eastAsia="Calibri" w:hAnsi="Calibri" w:cs="Calibri"/>
                <w:sz w:val="22"/>
                <w:szCs w:val="22"/>
              </w:rPr>
              <w:br/>
            </w:r>
            <w:r w:rsidRPr="0011183B">
              <w:rPr>
                <w:rFonts w:ascii="Calibri" w:eastAsia="Calibri" w:hAnsi="Calibri" w:cs="Calibri"/>
                <w:color w:val="000000" w:themeColor="text1"/>
                <w:sz w:val="22"/>
                <w:szCs w:val="22"/>
              </w:rPr>
              <w:t xml:space="preserve">Joop Hessels, ABN Amro </w:t>
            </w:r>
            <w:r w:rsidRPr="0011183B">
              <w:rPr>
                <w:rFonts w:ascii="Calibri" w:eastAsia="Calibri" w:hAnsi="Calibri" w:cs="Calibri"/>
                <w:color w:val="000000" w:themeColor="text1"/>
                <w:sz w:val="22"/>
                <w:szCs w:val="22"/>
              </w:rPr>
              <w:br/>
              <w:t>Katherine House, Affirimative IM</w:t>
            </w:r>
          </w:p>
          <w:p w14:paraId="0000027D"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 xml:space="preserve">Michael Parker, Citi </w:t>
            </w:r>
          </w:p>
          <w:p w14:paraId="0000027E"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Lars Mac Kay, Danske Bank</w:t>
            </w:r>
            <w:r w:rsidRPr="0011183B">
              <w:rPr>
                <w:rFonts w:ascii="Calibri" w:eastAsia="Calibri" w:hAnsi="Calibri" w:cs="Calibri"/>
                <w:color w:val="000000" w:themeColor="text1"/>
                <w:sz w:val="22"/>
                <w:szCs w:val="22"/>
              </w:rPr>
              <w:br/>
              <w:t>Knut Elvind Haaland, DNB</w:t>
            </w:r>
            <w:r w:rsidRPr="0011183B">
              <w:rPr>
                <w:rFonts w:ascii="Calibri" w:eastAsia="Calibri" w:hAnsi="Calibri" w:cs="Calibri"/>
                <w:color w:val="000000" w:themeColor="text1"/>
                <w:sz w:val="22"/>
                <w:szCs w:val="22"/>
              </w:rPr>
              <w:br/>
              <w:t>Lars Kalbakken, DNB</w:t>
            </w:r>
            <w:r w:rsidRPr="0011183B">
              <w:rPr>
                <w:rFonts w:ascii="Calibri" w:eastAsia="Calibri" w:hAnsi="Calibri" w:cs="Calibri"/>
                <w:color w:val="000000" w:themeColor="text1"/>
                <w:sz w:val="22"/>
                <w:szCs w:val="22"/>
              </w:rPr>
              <w:br/>
              <w:t>Nina Ahlstrand, DNB</w:t>
            </w:r>
            <w:r w:rsidRPr="0011183B">
              <w:rPr>
                <w:rFonts w:ascii="Calibri" w:eastAsia="Calibri" w:hAnsi="Calibri" w:cs="Calibri"/>
                <w:color w:val="000000" w:themeColor="text1"/>
                <w:sz w:val="22"/>
                <w:szCs w:val="22"/>
              </w:rPr>
              <w:br/>
              <w:t>Gust Biesbroeck</w:t>
            </w:r>
          </w:p>
          <w:p w14:paraId="0000027F"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Kristoffer Olsen, ITM Power</w:t>
            </w:r>
            <w:r w:rsidRPr="0011183B">
              <w:rPr>
                <w:rFonts w:ascii="Calibri" w:eastAsia="Calibri" w:hAnsi="Calibri" w:cs="Calibri"/>
                <w:color w:val="000000" w:themeColor="text1"/>
                <w:sz w:val="22"/>
                <w:szCs w:val="22"/>
              </w:rPr>
              <w:br/>
              <w:t>Ted Shergalis, Magnuss</w:t>
            </w:r>
            <w:r w:rsidRPr="0011183B">
              <w:rPr>
                <w:rFonts w:ascii="Calibri" w:eastAsia="Calibri" w:hAnsi="Calibri" w:cs="Calibri"/>
                <w:color w:val="000000" w:themeColor="text1"/>
                <w:sz w:val="22"/>
                <w:szCs w:val="22"/>
              </w:rPr>
              <w:br/>
              <w:t>Astrid Molstad, Molnex</w:t>
            </w:r>
            <w:r w:rsidRPr="0011183B">
              <w:rPr>
                <w:rFonts w:ascii="Calibri" w:eastAsia="Calibri" w:hAnsi="Calibri" w:cs="Calibri"/>
                <w:color w:val="000000" w:themeColor="text1"/>
                <w:sz w:val="22"/>
                <w:szCs w:val="22"/>
              </w:rPr>
              <w:br/>
              <w:t>Jacob Michaelsen, Nordea</w:t>
            </w:r>
            <w:r w:rsidRPr="0011183B">
              <w:rPr>
                <w:rFonts w:ascii="Calibri" w:eastAsia="Calibri" w:hAnsi="Calibri" w:cs="Calibri"/>
                <w:color w:val="000000" w:themeColor="text1"/>
                <w:sz w:val="22"/>
                <w:szCs w:val="22"/>
              </w:rPr>
              <w:br/>
              <w:t>Margrete Ellertsen, Nordea</w:t>
            </w:r>
          </w:p>
          <w:p w14:paraId="00000280"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Yoshiaki Hamano, NYK</w:t>
            </w:r>
          </w:p>
          <w:p w14:paraId="00000281"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Yu</w:t>
            </w:r>
            <w:r w:rsidRPr="0011183B">
              <w:rPr>
                <w:rFonts w:ascii="Calibri" w:eastAsia="Calibri" w:hAnsi="Calibri" w:cs="Calibri"/>
                <w:color w:val="000000" w:themeColor="text1"/>
                <w:sz w:val="22"/>
                <w:szCs w:val="22"/>
              </w:rPr>
              <w:t>suke Matsui, NYK</w:t>
            </w:r>
          </w:p>
          <w:p w14:paraId="00000282" w14:textId="77777777" w:rsidR="001E40A1" w:rsidRPr="0011183B" w:rsidRDefault="007A0446">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Christopher Rex, Skibskredit</w:t>
            </w:r>
          </w:p>
          <w:p w14:paraId="00000283" w14:textId="77777777" w:rsidR="001E40A1" w:rsidRDefault="007A0446">
            <w:pPr>
              <w:rPr>
                <w:rFonts w:ascii="Calibri" w:eastAsia="Calibri" w:hAnsi="Calibri" w:cs="Calibri"/>
                <w:i/>
                <w:color w:val="000000"/>
                <w:sz w:val="22"/>
                <w:szCs w:val="22"/>
              </w:rPr>
            </w:pPr>
            <w:r w:rsidRPr="0011183B">
              <w:rPr>
                <w:rFonts w:ascii="Calibri" w:eastAsia="Calibri" w:hAnsi="Calibri" w:cs="Calibri"/>
                <w:color w:val="000000" w:themeColor="text1"/>
                <w:sz w:val="22"/>
                <w:szCs w:val="22"/>
              </w:rPr>
              <w:t>Sara Møller Jensen, Skibskredit</w:t>
            </w:r>
            <w:r w:rsidRPr="0011183B">
              <w:rPr>
                <w:rFonts w:ascii="Calibri" w:eastAsia="Calibri" w:hAnsi="Calibri" w:cs="Calibri"/>
                <w:color w:val="000000" w:themeColor="text1"/>
                <w:sz w:val="22"/>
                <w:szCs w:val="22"/>
              </w:rPr>
              <w:br/>
              <w:t>Nikos Petrakakos, Seabury Capital</w:t>
            </w:r>
            <w:r w:rsidRPr="0011183B">
              <w:rPr>
                <w:rFonts w:ascii="Calibri" w:eastAsia="Calibri" w:hAnsi="Calibri" w:cs="Calibri"/>
                <w:color w:val="000000" w:themeColor="text1"/>
                <w:sz w:val="22"/>
                <w:szCs w:val="22"/>
              </w:rPr>
              <w:br/>
              <w:t>Henrik Piper, Silverstream Tech</w:t>
            </w:r>
            <w:r w:rsidRPr="0011183B">
              <w:rPr>
                <w:rFonts w:ascii="Calibri" w:eastAsia="Calibri" w:hAnsi="Calibri" w:cs="Calibri"/>
                <w:color w:val="000000" w:themeColor="text1"/>
                <w:sz w:val="22"/>
                <w:szCs w:val="22"/>
              </w:rPr>
              <w:br/>
              <w:t>Jens Peter Neergard, Silverstream Tech</w:t>
            </w:r>
            <w:r w:rsidRPr="0011183B">
              <w:rPr>
                <w:rFonts w:ascii="Calibri" w:eastAsia="Calibri" w:hAnsi="Calibri" w:cs="Calibri"/>
                <w:color w:val="000000" w:themeColor="text1"/>
                <w:sz w:val="22"/>
                <w:szCs w:val="22"/>
              </w:rPr>
              <w:br/>
              <w:t>Paul Stuart-Smith, Zero Carbon Finance</w:t>
            </w:r>
          </w:p>
        </w:tc>
      </w:tr>
    </w:tbl>
    <w:p w14:paraId="00000284" w14:textId="77777777" w:rsidR="001E40A1" w:rsidRDefault="001E40A1">
      <w:pPr>
        <w:pBdr>
          <w:top w:val="nil"/>
          <w:left w:val="nil"/>
          <w:bottom w:val="nil"/>
          <w:right w:val="nil"/>
          <w:between w:val="nil"/>
        </w:pBdr>
        <w:rPr>
          <w:rFonts w:ascii="Calibri" w:eastAsia="Calibri" w:hAnsi="Calibri" w:cs="Calibri"/>
          <w:color w:val="000000"/>
          <w:sz w:val="22"/>
          <w:szCs w:val="22"/>
        </w:rPr>
      </w:pPr>
      <w:bookmarkStart w:id="49" w:name="_heading=h.1mrcu09" w:colFirst="0" w:colLast="0"/>
      <w:bookmarkEnd w:id="49"/>
    </w:p>
    <w:p w14:paraId="1B6B9360" w14:textId="77777777" w:rsidR="0011183B" w:rsidRPr="0011183B" w:rsidRDefault="007A0446" w:rsidP="0011183B">
      <w:pPr>
        <w:rPr>
          <w:rFonts w:ascii="Calibri" w:eastAsia="Calibri" w:hAnsi="Calibri" w:cs="Calibri"/>
          <w:color w:val="000000" w:themeColor="text1"/>
          <w:sz w:val="22"/>
          <w:szCs w:val="22"/>
        </w:rPr>
      </w:pPr>
      <w:r>
        <w:rPr>
          <w:rFonts w:ascii="Calibri" w:eastAsia="Calibri" w:hAnsi="Calibri" w:cs="Calibri"/>
          <w:b/>
          <w:color w:val="000000"/>
          <w:sz w:val="22"/>
          <w:szCs w:val="22"/>
        </w:rPr>
        <w:t xml:space="preserve">With thanks to: </w:t>
      </w:r>
      <w:r>
        <w:rPr>
          <w:rFonts w:ascii="Calibri" w:eastAsia="Calibri" w:hAnsi="Calibri" w:cs="Calibri"/>
          <w:b/>
          <w:color w:val="000000"/>
          <w:sz w:val="22"/>
          <w:szCs w:val="22"/>
        </w:rPr>
        <w:br/>
      </w:r>
      <w:r w:rsidR="0011183B" w:rsidRPr="0011183B">
        <w:rPr>
          <w:rFonts w:ascii="Calibri" w:eastAsia="Calibri" w:hAnsi="Calibri" w:cs="Calibri"/>
          <w:color w:val="000000" w:themeColor="text1"/>
          <w:sz w:val="22"/>
          <w:szCs w:val="22"/>
        </w:rPr>
        <w:t xml:space="preserve">Georgios Plevrakis, American Bureau of Shipping </w:t>
      </w:r>
      <w:r w:rsidR="0011183B" w:rsidRPr="0011183B">
        <w:rPr>
          <w:rFonts w:ascii="Calibri" w:eastAsia="Calibri" w:hAnsi="Calibri" w:cs="Calibri"/>
          <w:color w:val="000000" w:themeColor="text1"/>
          <w:sz w:val="22"/>
          <w:szCs w:val="22"/>
        </w:rPr>
        <w:br/>
        <w:t>Stephen Cadden, Sea LNG</w:t>
      </w:r>
    </w:p>
    <w:p w14:paraId="09017A0F" w14:textId="77777777" w:rsidR="0011183B" w:rsidRPr="0011183B" w:rsidRDefault="0011183B" w:rsidP="0011183B">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Steve Esau, Sea LNG</w:t>
      </w:r>
    </w:p>
    <w:p w14:paraId="18B43D0F" w14:textId="77777777" w:rsidR="0011183B" w:rsidRPr="0011183B" w:rsidRDefault="0011183B" w:rsidP="0011183B">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Samuel Kenny, Transport &amp; Environment</w:t>
      </w:r>
      <w:r w:rsidRPr="0011183B">
        <w:rPr>
          <w:rFonts w:ascii="Calibri" w:eastAsia="Calibri" w:hAnsi="Calibri" w:cs="Calibri"/>
          <w:color w:val="000000" w:themeColor="text1"/>
          <w:sz w:val="22"/>
          <w:szCs w:val="22"/>
        </w:rPr>
        <w:br/>
        <w:t>Faig Abbasov, Transport &amp; Environment</w:t>
      </w:r>
      <w:r w:rsidRPr="0011183B">
        <w:rPr>
          <w:rFonts w:ascii="Calibri" w:eastAsia="Calibri" w:hAnsi="Calibri" w:cs="Calibri"/>
          <w:color w:val="000000" w:themeColor="text1"/>
          <w:sz w:val="22"/>
          <w:szCs w:val="22"/>
        </w:rPr>
        <w:br/>
        <w:t>Dominik Englert, World Bank</w:t>
      </w:r>
      <w:r w:rsidRPr="0011183B">
        <w:rPr>
          <w:rFonts w:ascii="Calibri" w:eastAsia="Calibri" w:hAnsi="Calibri" w:cs="Calibri"/>
          <w:color w:val="000000" w:themeColor="text1"/>
          <w:sz w:val="22"/>
          <w:szCs w:val="22"/>
        </w:rPr>
        <w:br/>
        <w:t xml:space="preserve">Andrew Losos, World Bank </w:t>
      </w:r>
    </w:p>
    <w:p w14:paraId="55973759" w14:textId="77777777" w:rsidR="0011183B" w:rsidRPr="0011183B" w:rsidRDefault="0011183B" w:rsidP="0011183B">
      <w:pPr>
        <w:rPr>
          <w:rFonts w:ascii="Calibri" w:eastAsia="Calibri" w:hAnsi="Calibri" w:cs="Calibri"/>
          <w:color w:val="000000" w:themeColor="text1"/>
          <w:sz w:val="22"/>
          <w:szCs w:val="22"/>
        </w:rPr>
      </w:pPr>
      <w:r w:rsidRPr="0011183B">
        <w:rPr>
          <w:rFonts w:ascii="Calibri" w:eastAsia="Calibri" w:hAnsi="Calibri" w:cs="Calibri"/>
          <w:color w:val="000000" w:themeColor="text1"/>
          <w:sz w:val="22"/>
          <w:szCs w:val="22"/>
        </w:rPr>
        <w:t>Mark Lutes, World Wide Fund for Nature</w:t>
      </w:r>
    </w:p>
    <w:p w14:paraId="00000285" w14:textId="25333570" w:rsidR="001E40A1" w:rsidRDefault="007A044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br/>
      </w:r>
    </w:p>
    <w:p w14:paraId="00000286" w14:textId="77777777" w:rsidR="001E40A1" w:rsidRDefault="001E40A1">
      <w:pPr>
        <w:pBdr>
          <w:top w:val="nil"/>
          <w:left w:val="nil"/>
          <w:bottom w:val="nil"/>
          <w:right w:val="nil"/>
          <w:between w:val="nil"/>
        </w:pBdr>
        <w:rPr>
          <w:rFonts w:ascii="Calibri" w:eastAsia="Calibri" w:hAnsi="Calibri" w:cs="Calibri"/>
          <w:i/>
          <w:color w:val="000000"/>
        </w:rPr>
      </w:pPr>
    </w:p>
    <w:p w14:paraId="00000287" w14:textId="77777777" w:rsidR="001E40A1" w:rsidRDefault="001E40A1">
      <w:pPr>
        <w:pBdr>
          <w:top w:val="nil"/>
          <w:left w:val="nil"/>
          <w:bottom w:val="nil"/>
          <w:right w:val="nil"/>
          <w:between w:val="nil"/>
        </w:pBdr>
        <w:rPr>
          <w:rFonts w:ascii="Calibri" w:eastAsia="Calibri" w:hAnsi="Calibri" w:cs="Calibri"/>
          <w:i/>
          <w:color w:val="000000"/>
        </w:rPr>
      </w:pPr>
    </w:p>
    <w:p w14:paraId="00000288" w14:textId="77777777" w:rsidR="001E40A1" w:rsidRDefault="001E40A1">
      <w:pPr>
        <w:pBdr>
          <w:top w:val="nil"/>
          <w:left w:val="nil"/>
          <w:bottom w:val="nil"/>
          <w:right w:val="nil"/>
          <w:between w:val="nil"/>
        </w:pBdr>
        <w:rPr>
          <w:rFonts w:ascii="Calibri" w:eastAsia="Calibri" w:hAnsi="Calibri" w:cs="Calibri"/>
          <w:i/>
          <w:color w:val="000000"/>
        </w:rPr>
      </w:pPr>
    </w:p>
    <w:p w14:paraId="00000289" w14:textId="77777777" w:rsidR="001E40A1" w:rsidRDefault="001E40A1">
      <w:pPr>
        <w:pBdr>
          <w:top w:val="nil"/>
          <w:left w:val="nil"/>
          <w:bottom w:val="nil"/>
          <w:right w:val="nil"/>
          <w:between w:val="nil"/>
        </w:pBdr>
        <w:rPr>
          <w:rFonts w:ascii="Calibri" w:eastAsia="Calibri" w:hAnsi="Calibri" w:cs="Calibri"/>
          <w:i/>
          <w:color w:val="000000"/>
        </w:rPr>
      </w:pPr>
    </w:p>
    <w:p w14:paraId="0000028A" w14:textId="77777777" w:rsidR="001E40A1" w:rsidRDefault="001E40A1">
      <w:pPr>
        <w:pBdr>
          <w:top w:val="nil"/>
          <w:left w:val="nil"/>
          <w:bottom w:val="nil"/>
          <w:right w:val="nil"/>
          <w:between w:val="nil"/>
        </w:pBdr>
        <w:rPr>
          <w:rFonts w:ascii="Calibri" w:eastAsia="Calibri" w:hAnsi="Calibri" w:cs="Calibri"/>
          <w:i/>
          <w:color w:val="000000"/>
        </w:rPr>
      </w:pPr>
    </w:p>
    <w:p w14:paraId="0000028B" w14:textId="77777777" w:rsidR="001E40A1" w:rsidRDefault="001E40A1">
      <w:pPr>
        <w:pBdr>
          <w:top w:val="nil"/>
          <w:left w:val="nil"/>
          <w:bottom w:val="nil"/>
          <w:right w:val="nil"/>
          <w:between w:val="nil"/>
        </w:pBdr>
        <w:rPr>
          <w:rFonts w:ascii="Calibri" w:eastAsia="Calibri" w:hAnsi="Calibri" w:cs="Calibri"/>
          <w:i/>
          <w:color w:val="000000"/>
        </w:rPr>
      </w:pPr>
    </w:p>
    <w:p w14:paraId="0000028C" w14:textId="77777777" w:rsidR="001E40A1" w:rsidRDefault="001E40A1">
      <w:pPr>
        <w:pBdr>
          <w:top w:val="nil"/>
          <w:left w:val="nil"/>
          <w:bottom w:val="nil"/>
          <w:right w:val="nil"/>
          <w:between w:val="nil"/>
        </w:pBdr>
        <w:rPr>
          <w:rFonts w:ascii="Calibri" w:eastAsia="Calibri" w:hAnsi="Calibri" w:cs="Calibri"/>
          <w:i/>
          <w:color w:val="000000"/>
        </w:rPr>
      </w:pPr>
    </w:p>
    <w:p w14:paraId="0000028D" w14:textId="77777777" w:rsidR="001E40A1" w:rsidRDefault="001E40A1">
      <w:pPr>
        <w:pBdr>
          <w:top w:val="nil"/>
          <w:left w:val="nil"/>
          <w:bottom w:val="nil"/>
          <w:right w:val="nil"/>
          <w:between w:val="nil"/>
        </w:pBdr>
        <w:rPr>
          <w:rFonts w:ascii="Calibri" w:eastAsia="Calibri" w:hAnsi="Calibri" w:cs="Calibri"/>
          <w:i/>
          <w:color w:val="000000"/>
        </w:rPr>
      </w:pPr>
    </w:p>
    <w:p w14:paraId="0000028E" w14:textId="77777777" w:rsidR="001E40A1" w:rsidRDefault="001E40A1">
      <w:pPr>
        <w:pBdr>
          <w:top w:val="nil"/>
          <w:left w:val="nil"/>
          <w:bottom w:val="nil"/>
          <w:right w:val="nil"/>
          <w:between w:val="nil"/>
        </w:pBdr>
        <w:rPr>
          <w:rFonts w:ascii="Calibri" w:eastAsia="Calibri" w:hAnsi="Calibri" w:cs="Calibri"/>
          <w:i/>
          <w:color w:val="000000"/>
        </w:rPr>
      </w:pPr>
    </w:p>
    <w:p w14:paraId="0000028F" w14:textId="77777777" w:rsidR="001E40A1" w:rsidRDefault="001E40A1">
      <w:pPr>
        <w:pBdr>
          <w:top w:val="nil"/>
          <w:left w:val="nil"/>
          <w:bottom w:val="nil"/>
          <w:right w:val="nil"/>
          <w:between w:val="nil"/>
        </w:pBdr>
        <w:rPr>
          <w:rFonts w:ascii="Calibri" w:eastAsia="Calibri" w:hAnsi="Calibri" w:cs="Calibri"/>
          <w:i/>
          <w:color w:val="000000"/>
        </w:rPr>
      </w:pPr>
    </w:p>
    <w:p w14:paraId="00000290" w14:textId="77777777" w:rsidR="001E40A1" w:rsidRDefault="001E40A1">
      <w:pPr>
        <w:pBdr>
          <w:top w:val="nil"/>
          <w:left w:val="nil"/>
          <w:bottom w:val="nil"/>
          <w:right w:val="nil"/>
          <w:between w:val="nil"/>
        </w:pBdr>
        <w:rPr>
          <w:rFonts w:ascii="Calibri" w:eastAsia="Calibri" w:hAnsi="Calibri" w:cs="Calibri"/>
          <w:i/>
          <w:color w:val="000000"/>
        </w:rPr>
      </w:pPr>
    </w:p>
    <w:p w14:paraId="00000291" w14:textId="77777777" w:rsidR="001E40A1" w:rsidRDefault="001E40A1">
      <w:pPr>
        <w:pBdr>
          <w:top w:val="nil"/>
          <w:left w:val="nil"/>
          <w:bottom w:val="nil"/>
          <w:right w:val="nil"/>
          <w:between w:val="nil"/>
        </w:pBdr>
        <w:rPr>
          <w:rFonts w:ascii="Calibri" w:eastAsia="Calibri" w:hAnsi="Calibri" w:cs="Calibri"/>
          <w:i/>
          <w:color w:val="000000"/>
        </w:rPr>
      </w:pPr>
    </w:p>
    <w:p w14:paraId="00000292" w14:textId="77777777" w:rsidR="001E40A1" w:rsidRDefault="001E40A1">
      <w:pPr>
        <w:pBdr>
          <w:top w:val="nil"/>
          <w:left w:val="nil"/>
          <w:bottom w:val="nil"/>
          <w:right w:val="nil"/>
          <w:between w:val="nil"/>
        </w:pBdr>
        <w:rPr>
          <w:rFonts w:ascii="Calibri" w:eastAsia="Calibri" w:hAnsi="Calibri" w:cs="Calibri"/>
          <w:i/>
          <w:color w:val="000000"/>
        </w:rPr>
      </w:pPr>
    </w:p>
    <w:p w14:paraId="00000293" w14:textId="77777777" w:rsidR="001E40A1" w:rsidRDefault="001E40A1">
      <w:pPr>
        <w:pBdr>
          <w:top w:val="nil"/>
          <w:left w:val="nil"/>
          <w:bottom w:val="nil"/>
          <w:right w:val="nil"/>
          <w:between w:val="nil"/>
        </w:pBdr>
        <w:rPr>
          <w:rFonts w:ascii="Calibri" w:eastAsia="Calibri" w:hAnsi="Calibri" w:cs="Calibri"/>
          <w:i/>
          <w:color w:val="000000"/>
        </w:rPr>
      </w:pPr>
    </w:p>
    <w:p w14:paraId="00000294" w14:textId="77777777" w:rsidR="001E40A1" w:rsidRDefault="001E40A1">
      <w:pPr>
        <w:pBdr>
          <w:top w:val="nil"/>
          <w:left w:val="nil"/>
          <w:bottom w:val="nil"/>
          <w:right w:val="nil"/>
          <w:between w:val="nil"/>
        </w:pBdr>
        <w:rPr>
          <w:rFonts w:ascii="Calibri" w:eastAsia="Calibri" w:hAnsi="Calibri" w:cs="Calibri"/>
          <w:i/>
          <w:color w:val="000000"/>
        </w:rPr>
      </w:pPr>
    </w:p>
    <w:p w14:paraId="00000295" w14:textId="77777777" w:rsidR="001E40A1" w:rsidRDefault="001E40A1">
      <w:pPr>
        <w:pBdr>
          <w:top w:val="nil"/>
          <w:left w:val="nil"/>
          <w:bottom w:val="nil"/>
          <w:right w:val="nil"/>
          <w:between w:val="nil"/>
        </w:pBdr>
        <w:rPr>
          <w:rFonts w:ascii="Calibri" w:eastAsia="Calibri" w:hAnsi="Calibri" w:cs="Calibri"/>
          <w:i/>
          <w:color w:val="000000"/>
        </w:rPr>
      </w:pPr>
    </w:p>
    <w:p w14:paraId="00000296" w14:textId="77777777" w:rsidR="001E40A1" w:rsidRDefault="007A0446">
      <w:pPr>
        <w:pStyle w:val="Heading1"/>
      </w:pPr>
      <w:bookmarkStart w:id="50" w:name="_heading=h.46r0co2" w:colFirst="0" w:colLast="0"/>
      <w:bookmarkEnd w:id="50"/>
      <w:r>
        <w:t>Appendix 2: Carbon Intensity Metrics</w:t>
      </w:r>
    </w:p>
    <w:p w14:paraId="00000297" w14:textId="77777777" w:rsidR="001E40A1" w:rsidRDefault="001E40A1">
      <w:pPr>
        <w:rPr>
          <w:rFonts w:ascii="Calibri" w:eastAsia="Calibri" w:hAnsi="Calibri" w:cs="Calibri"/>
        </w:rPr>
      </w:pPr>
    </w:p>
    <w:p w14:paraId="00000298" w14:textId="77777777" w:rsidR="001E40A1" w:rsidRDefault="007A0446">
      <w:pPr>
        <w:jc w:val="both"/>
        <w:rPr>
          <w:rFonts w:ascii="Calibri" w:eastAsia="Calibri" w:hAnsi="Calibri" w:cs="Calibri"/>
        </w:rPr>
      </w:pPr>
      <w:r>
        <w:rPr>
          <w:rFonts w:ascii="Calibri" w:eastAsia="Calibri" w:hAnsi="Calibri" w:cs="Calibri"/>
        </w:rPr>
        <w:t>Although technically carbon intensity and energy efficiency have different meanings, they are synonymous in the IMO’s nomenclature. Table 10 provides descriptions of various efficiency related terms. As shown in Table 10 below, no single definition provide</w:t>
      </w:r>
      <w:r>
        <w:rPr>
          <w:rFonts w:ascii="Calibri" w:eastAsia="Calibri" w:hAnsi="Calibri" w:cs="Calibri"/>
        </w:rPr>
        <w:t>s all the information that might be wanted to understand energy efficiency or carbon intensity. Definitions that might be useful for some stakeholders can obscure information that might be useful to others. For example, shipowners and charterers might be m</w:t>
      </w:r>
      <w:r>
        <w:rPr>
          <w:rFonts w:ascii="Calibri" w:eastAsia="Calibri" w:hAnsi="Calibri" w:cs="Calibri"/>
        </w:rPr>
        <w:t>ost interested in understanding the performance of a ship in a reference condition and therefore may find the different types of ‘technical efficiency’ most useful, whereas a regulator or a shipper who wants to understand the carbon intensity of shipping a</w:t>
      </w:r>
      <w:r>
        <w:rPr>
          <w:rFonts w:ascii="Calibri" w:eastAsia="Calibri" w:hAnsi="Calibri" w:cs="Calibri"/>
        </w:rPr>
        <w:t>s a mode of transport might be more interested in ‘total efficiency’.</w:t>
      </w:r>
    </w:p>
    <w:p w14:paraId="00000299" w14:textId="77777777" w:rsidR="001E40A1" w:rsidRDefault="001E40A1">
      <w:pPr>
        <w:rPr>
          <w:rFonts w:ascii="Calibri" w:eastAsia="Calibri" w:hAnsi="Calibri" w:cs="Calibri"/>
        </w:rPr>
      </w:pPr>
    </w:p>
    <w:tbl>
      <w:tblPr>
        <w:tblStyle w:val="a8"/>
        <w:tblW w:w="9913" w:type="dxa"/>
        <w:tblLayout w:type="fixed"/>
        <w:tblLook w:val="0400" w:firstRow="0" w:lastRow="0" w:firstColumn="0" w:lastColumn="0" w:noHBand="0" w:noVBand="1"/>
      </w:tblPr>
      <w:tblGrid>
        <w:gridCol w:w="1004"/>
        <w:gridCol w:w="2955"/>
        <w:gridCol w:w="3119"/>
        <w:gridCol w:w="2835"/>
      </w:tblGrid>
      <w:tr w:rsidR="001E40A1" w14:paraId="4E6CA846" w14:textId="77777777">
        <w:trPr>
          <w:trHeight w:val="249"/>
        </w:trPr>
        <w:tc>
          <w:tcPr>
            <w:tcW w:w="100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tcPr>
          <w:p w14:paraId="0000029A" w14:textId="77777777" w:rsidR="001E40A1" w:rsidRDefault="007A0446">
            <w:pPr>
              <w:rPr>
                <w:rFonts w:ascii="Calibri" w:eastAsia="Calibri" w:hAnsi="Calibri" w:cs="Calibri"/>
              </w:rPr>
            </w:pPr>
            <w:r>
              <w:rPr>
                <w:rFonts w:ascii="Calibri" w:eastAsia="Calibri" w:hAnsi="Calibri" w:cs="Calibri"/>
              </w:rPr>
              <w:t>Metric</w:t>
            </w:r>
          </w:p>
        </w:tc>
        <w:tc>
          <w:tcPr>
            <w:tcW w:w="29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tcPr>
          <w:p w14:paraId="0000029B" w14:textId="77777777" w:rsidR="001E40A1" w:rsidRDefault="007A0446">
            <w:pPr>
              <w:rPr>
                <w:rFonts w:ascii="Calibri" w:eastAsia="Calibri" w:hAnsi="Calibri" w:cs="Calibri"/>
              </w:rPr>
            </w:pPr>
            <w:r>
              <w:rPr>
                <w:rFonts w:ascii="Calibri" w:eastAsia="Calibri" w:hAnsi="Calibri" w:cs="Calibri"/>
              </w:rPr>
              <w:t>Description</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tcPr>
          <w:p w14:paraId="0000029C" w14:textId="77777777" w:rsidR="001E40A1" w:rsidRDefault="007A0446">
            <w:pPr>
              <w:rPr>
                <w:rFonts w:ascii="Calibri" w:eastAsia="Calibri" w:hAnsi="Calibri" w:cs="Calibri"/>
              </w:rPr>
            </w:pPr>
            <w:r>
              <w:rPr>
                <w:rFonts w:ascii="Calibri" w:eastAsia="Calibri" w:hAnsi="Calibri" w:cs="Calibri"/>
              </w:rPr>
              <w:t>Pros/Cons</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tcPr>
          <w:p w14:paraId="0000029D" w14:textId="77777777" w:rsidR="001E40A1" w:rsidRDefault="007A0446">
            <w:pPr>
              <w:rPr>
                <w:rFonts w:ascii="Calibri" w:eastAsia="Calibri" w:hAnsi="Calibri" w:cs="Calibri"/>
              </w:rPr>
            </w:pPr>
            <w:r>
              <w:rPr>
                <w:rFonts w:ascii="Calibri" w:eastAsia="Calibri" w:hAnsi="Calibri" w:cs="Calibri"/>
              </w:rPr>
              <w:t>Data/practical considerations</w:t>
            </w:r>
          </w:p>
        </w:tc>
      </w:tr>
      <w:tr w:rsidR="001E40A1" w14:paraId="39805FCB" w14:textId="77777777">
        <w:trPr>
          <w:trHeight w:val="1757"/>
        </w:trPr>
        <w:tc>
          <w:tcPr>
            <w:tcW w:w="100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9E" w14:textId="77777777" w:rsidR="001E40A1" w:rsidRDefault="007A0446">
            <w:pPr>
              <w:rPr>
                <w:rFonts w:ascii="Calibri" w:eastAsia="Calibri" w:hAnsi="Calibri" w:cs="Calibri"/>
              </w:rPr>
            </w:pPr>
            <w:r>
              <w:rPr>
                <w:rFonts w:ascii="Calibri" w:eastAsia="Calibri" w:hAnsi="Calibri" w:cs="Calibri"/>
              </w:rPr>
              <w:t>Absolute emissions</w:t>
            </w:r>
          </w:p>
        </w:tc>
        <w:tc>
          <w:tcPr>
            <w:tcW w:w="295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9F" w14:textId="77777777" w:rsidR="001E40A1" w:rsidRDefault="007A0446">
            <w:pPr>
              <w:ind w:left="113" w:right="113"/>
              <w:rPr>
                <w:rFonts w:ascii="Calibri" w:eastAsia="Calibri" w:hAnsi="Calibri" w:cs="Calibri"/>
              </w:rPr>
            </w:pPr>
            <w:r>
              <w:rPr>
                <w:rFonts w:ascii="Calibri" w:eastAsia="Calibri" w:hAnsi="Calibri" w:cs="Calibri"/>
              </w:rPr>
              <w:t>The emissions generated to produce transportation service. Specified as tank-to-wheel (the operations of ship) or well-to-tank, from the well where fuel was produced to wheel.</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0" w14:textId="77777777" w:rsidR="001E40A1" w:rsidRDefault="007A0446">
            <w:pPr>
              <w:ind w:left="113" w:right="113"/>
              <w:rPr>
                <w:rFonts w:ascii="Calibri" w:eastAsia="Calibri" w:hAnsi="Calibri" w:cs="Calibri"/>
              </w:rPr>
            </w:pPr>
            <w:r>
              <w:rPr>
                <w:rFonts w:ascii="Calibri" w:eastAsia="Calibri" w:hAnsi="Calibri" w:cs="Calibri"/>
              </w:rPr>
              <w:t>Total emissions are important at sectoral level as it provides a baseline for mi</w:t>
            </w:r>
            <w:r>
              <w:rPr>
                <w:rFonts w:ascii="Calibri" w:eastAsia="Calibri" w:hAnsi="Calibri" w:cs="Calibri"/>
              </w:rPr>
              <w:t>tigation required by sector. However, it does not measure the CO2 efficiency with which a company/ship conducts its business activities.</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1" w14:textId="77777777" w:rsidR="001E40A1" w:rsidRDefault="007A0446">
            <w:pPr>
              <w:ind w:left="113" w:right="113"/>
              <w:rPr>
                <w:rFonts w:ascii="Calibri" w:eastAsia="Calibri" w:hAnsi="Calibri" w:cs="Calibri"/>
              </w:rPr>
            </w:pPr>
            <w:r>
              <w:rPr>
                <w:rFonts w:ascii="Calibri" w:eastAsia="Calibri" w:hAnsi="Calibri" w:cs="Calibri"/>
              </w:rPr>
              <w:t>Data is available from the 3</w:t>
            </w:r>
            <w:r>
              <w:rPr>
                <w:rFonts w:ascii="Calibri" w:eastAsia="Calibri" w:hAnsi="Calibri" w:cs="Calibri"/>
                <w:vertAlign w:val="superscript"/>
              </w:rPr>
              <w:t>rd</w:t>
            </w:r>
            <w:r>
              <w:rPr>
                <w:rFonts w:ascii="Calibri" w:eastAsia="Calibri" w:hAnsi="Calibri" w:cs="Calibri"/>
              </w:rPr>
              <w:t xml:space="preserve"> GHG Study for total shipping emissions and ship type/size. For individual ships, data fr</w:t>
            </w:r>
            <w:r>
              <w:rPr>
                <w:rFonts w:ascii="Calibri" w:eastAsia="Calibri" w:hAnsi="Calibri" w:cs="Calibri"/>
              </w:rPr>
              <w:t>om IMO DCS can be used but not publicly available (on consent of shipowner only), although estimated data could be used, but has lower accuracy.</w:t>
            </w:r>
          </w:p>
        </w:tc>
      </w:tr>
      <w:tr w:rsidR="001E40A1" w14:paraId="0CE7CAD6" w14:textId="77777777">
        <w:trPr>
          <w:trHeight w:val="1255"/>
        </w:trPr>
        <w:tc>
          <w:tcPr>
            <w:tcW w:w="1004"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2" w14:textId="77777777" w:rsidR="001E40A1" w:rsidRDefault="007A0446">
            <w:pPr>
              <w:rPr>
                <w:rFonts w:ascii="Calibri" w:eastAsia="Calibri" w:hAnsi="Calibri" w:cs="Calibri"/>
              </w:rPr>
            </w:pPr>
            <w:r>
              <w:rPr>
                <w:rFonts w:ascii="Calibri" w:eastAsia="Calibri" w:hAnsi="Calibri" w:cs="Calibri"/>
              </w:rPr>
              <w:t>As-designed technical efficiency (e.g., EEDI)</w:t>
            </w:r>
          </w:p>
        </w:tc>
        <w:tc>
          <w:tcPr>
            <w:tcW w:w="2955"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3" w14:textId="77777777" w:rsidR="001E40A1" w:rsidRDefault="007A0446">
            <w:pPr>
              <w:ind w:left="113" w:right="113"/>
              <w:rPr>
                <w:rFonts w:ascii="Calibri" w:eastAsia="Calibri" w:hAnsi="Calibri" w:cs="Calibri"/>
              </w:rPr>
            </w:pPr>
            <w:r>
              <w:rPr>
                <w:rFonts w:ascii="Calibri" w:eastAsia="Calibri" w:hAnsi="Calibri" w:cs="Calibri"/>
              </w:rPr>
              <w:t xml:space="preserve">The efficiency of a ship in its as-designed condition (straight from the yard) in ideal conditions. </w:t>
            </w:r>
          </w:p>
        </w:tc>
        <w:tc>
          <w:tcPr>
            <w:tcW w:w="3119"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4" w14:textId="77777777" w:rsidR="001E40A1" w:rsidRDefault="007A0446">
            <w:pPr>
              <w:ind w:left="113" w:right="113"/>
              <w:rPr>
                <w:rFonts w:ascii="Calibri" w:eastAsia="Calibri" w:hAnsi="Calibri" w:cs="Calibri"/>
              </w:rPr>
            </w:pPr>
            <w:r>
              <w:rPr>
                <w:rFonts w:ascii="Calibri" w:eastAsia="Calibri" w:hAnsi="Calibri" w:cs="Calibri"/>
              </w:rPr>
              <w:t>Not a reliable for estimating carbon intensity as assumes ship sails at design (full) speed, fully loaded and operates in calm sea conditions, all of which</w:t>
            </w:r>
            <w:r>
              <w:rPr>
                <w:rFonts w:ascii="Calibri" w:eastAsia="Calibri" w:hAnsi="Calibri" w:cs="Calibri"/>
              </w:rPr>
              <w:t xml:space="preserve"> are unrealistic assumptions.</w:t>
            </w:r>
          </w:p>
        </w:tc>
        <w:tc>
          <w:tcPr>
            <w:tcW w:w="2835"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5" w14:textId="77777777" w:rsidR="001E40A1" w:rsidRDefault="007A0446">
            <w:pPr>
              <w:ind w:left="113" w:right="113"/>
              <w:rPr>
                <w:rFonts w:ascii="Calibri" w:eastAsia="Calibri" w:hAnsi="Calibri" w:cs="Calibri"/>
              </w:rPr>
            </w:pPr>
            <w:r>
              <w:rPr>
                <w:rFonts w:ascii="Calibri" w:eastAsia="Calibri" w:hAnsi="Calibri" w:cs="Calibri"/>
              </w:rPr>
              <w:t>Can be measured from technical fleet database.</w:t>
            </w:r>
          </w:p>
        </w:tc>
      </w:tr>
      <w:tr w:rsidR="001E40A1" w14:paraId="335D3049" w14:textId="77777777">
        <w:trPr>
          <w:trHeight w:val="1727"/>
        </w:trPr>
        <w:tc>
          <w:tcPr>
            <w:tcW w:w="1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6" w14:textId="77777777" w:rsidR="001E40A1" w:rsidRDefault="007A0446">
            <w:pPr>
              <w:rPr>
                <w:rFonts w:ascii="Calibri" w:eastAsia="Calibri" w:hAnsi="Calibri" w:cs="Calibri"/>
              </w:rPr>
            </w:pPr>
            <w:r>
              <w:rPr>
                <w:rFonts w:ascii="Calibri" w:eastAsia="Calibri" w:hAnsi="Calibri" w:cs="Calibri"/>
              </w:rPr>
              <w:t>Technical efficiency at a point in time (e.g., EVDI)</w:t>
            </w:r>
          </w:p>
        </w:tc>
        <w:tc>
          <w:tcPr>
            <w:tcW w:w="2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7" w14:textId="77777777" w:rsidR="001E40A1" w:rsidRDefault="007A0446">
            <w:pPr>
              <w:ind w:left="113" w:right="113"/>
              <w:rPr>
                <w:rFonts w:ascii="Calibri" w:eastAsia="Calibri" w:hAnsi="Calibri" w:cs="Calibri"/>
              </w:rPr>
            </w:pPr>
            <w:r>
              <w:rPr>
                <w:rFonts w:ascii="Calibri" w:eastAsia="Calibri" w:hAnsi="Calibri" w:cs="Calibri"/>
              </w:rPr>
              <w:t xml:space="preserve">The efficiency of a ship of a certain age, following wear, deterioration and fouling, benchmarked to ideal conditions.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8" w14:textId="77777777" w:rsidR="001E40A1" w:rsidRDefault="007A0446">
            <w:pPr>
              <w:ind w:left="113" w:right="113"/>
              <w:rPr>
                <w:rFonts w:ascii="Calibri" w:eastAsia="Calibri" w:hAnsi="Calibri" w:cs="Calibri"/>
              </w:rPr>
            </w:pPr>
            <w:r>
              <w:rPr>
                <w:rFonts w:ascii="Calibri" w:eastAsia="Calibri" w:hAnsi="Calibri" w:cs="Calibri"/>
              </w:rPr>
              <w:t>Altho</w:t>
            </w:r>
            <w:r>
              <w:rPr>
                <w:rFonts w:ascii="Calibri" w:eastAsia="Calibri" w:hAnsi="Calibri" w:cs="Calibri"/>
              </w:rPr>
              <w:t>ugh metric takes into account the age, wear and tear as ships deteriorate through life, which all reduce efficiency (controlling for design speed and load), the metric does not represent the real-world operational conditions of the ship.</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9" w14:textId="77777777" w:rsidR="001E40A1" w:rsidRDefault="007A0446">
            <w:pPr>
              <w:ind w:left="113" w:right="113"/>
              <w:rPr>
                <w:rFonts w:ascii="Calibri" w:eastAsia="Calibri" w:hAnsi="Calibri" w:cs="Calibri"/>
              </w:rPr>
            </w:pPr>
            <w:r>
              <w:rPr>
                <w:rFonts w:ascii="Calibri" w:eastAsia="Calibri" w:hAnsi="Calibri" w:cs="Calibri"/>
              </w:rPr>
              <w:t xml:space="preserve">Data is available </w:t>
            </w:r>
            <w:r>
              <w:rPr>
                <w:rFonts w:ascii="Calibri" w:eastAsia="Calibri" w:hAnsi="Calibri" w:cs="Calibri"/>
              </w:rPr>
              <w:t>from technical fleet database, using assumptions on wear, deterioration and fouling.</w:t>
            </w:r>
          </w:p>
        </w:tc>
      </w:tr>
      <w:tr w:rsidR="001E40A1" w14:paraId="1912315F" w14:textId="77777777">
        <w:trPr>
          <w:trHeight w:val="1751"/>
        </w:trPr>
        <w:tc>
          <w:tcPr>
            <w:tcW w:w="1004"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A" w14:textId="77777777" w:rsidR="001E40A1" w:rsidRDefault="007A0446">
            <w:pPr>
              <w:rPr>
                <w:rFonts w:ascii="Calibri" w:eastAsia="Calibri" w:hAnsi="Calibri" w:cs="Calibri"/>
              </w:rPr>
            </w:pPr>
            <w:r>
              <w:rPr>
                <w:rFonts w:ascii="Calibri" w:eastAsia="Calibri" w:hAnsi="Calibri" w:cs="Calibri"/>
              </w:rPr>
              <w:t>Annual Efficiency Ratio (AER)</w:t>
            </w:r>
          </w:p>
        </w:tc>
        <w:tc>
          <w:tcPr>
            <w:tcW w:w="2955"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B" w14:textId="77777777" w:rsidR="001E40A1" w:rsidRDefault="007A0446">
            <w:pPr>
              <w:ind w:left="113" w:right="113"/>
              <w:rPr>
                <w:rFonts w:ascii="Calibri" w:eastAsia="Calibri" w:hAnsi="Calibri" w:cs="Calibri"/>
              </w:rPr>
            </w:pPr>
            <w:r>
              <w:rPr>
                <w:rFonts w:ascii="Calibri" w:eastAsia="Calibri" w:hAnsi="Calibri" w:cs="Calibri"/>
              </w:rPr>
              <w:t xml:space="preserve">The ratio of a ship's carbon emissions per actual capacity-distance (e.g., dwt x nm sailed). </w:t>
            </w:r>
          </w:p>
        </w:tc>
        <w:tc>
          <w:tcPr>
            <w:tcW w:w="3119"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C" w14:textId="77777777" w:rsidR="001E40A1" w:rsidRDefault="007A0446">
            <w:pPr>
              <w:ind w:left="113" w:right="113"/>
              <w:rPr>
                <w:rFonts w:ascii="Calibri" w:eastAsia="Calibri" w:hAnsi="Calibri" w:cs="Calibri"/>
              </w:rPr>
            </w:pPr>
            <w:r>
              <w:rPr>
                <w:rFonts w:ascii="Calibri" w:eastAsia="Calibri" w:hAnsi="Calibri" w:cs="Calibri"/>
              </w:rPr>
              <w:t>Assumes ships are fully loaded on all miles travelled during the year. In practice, ships are not always fully loaded and many ships (e.g., tankers and bulkers) o</w:t>
            </w:r>
            <w:r>
              <w:rPr>
                <w:rFonts w:ascii="Calibri" w:eastAsia="Calibri" w:hAnsi="Calibri" w:cs="Calibri"/>
              </w:rPr>
              <w:t>perate with ballast voyages where for several voyages a year they have no cargo.</w:t>
            </w:r>
          </w:p>
        </w:tc>
        <w:tc>
          <w:tcPr>
            <w:tcW w:w="2835" w:type="dxa"/>
            <w:tcBorders>
              <w:top w:val="single" w:sz="8" w:space="0" w:color="FFFFFF"/>
              <w:left w:val="single" w:sz="8" w:space="0" w:color="FFFFFF"/>
              <w:bottom w:val="single" w:sz="8" w:space="0" w:color="FFFFFF"/>
              <w:right w:val="single" w:sz="8" w:space="0" w:color="FFFFFF"/>
            </w:tcBorders>
            <w:shd w:val="clear" w:color="auto" w:fill="D5DCE4"/>
            <w:tcMar>
              <w:top w:w="15" w:type="dxa"/>
              <w:left w:w="15" w:type="dxa"/>
              <w:bottom w:w="0" w:type="dxa"/>
              <w:right w:w="15" w:type="dxa"/>
            </w:tcMar>
          </w:tcPr>
          <w:p w14:paraId="000002AD" w14:textId="77777777" w:rsidR="001E40A1" w:rsidRDefault="007A0446">
            <w:pPr>
              <w:ind w:left="113" w:right="113"/>
              <w:rPr>
                <w:rFonts w:ascii="Calibri" w:eastAsia="Calibri" w:hAnsi="Calibri" w:cs="Calibri"/>
              </w:rPr>
            </w:pPr>
            <w:r>
              <w:rPr>
                <w:rFonts w:ascii="Calibri" w:eastAsia="Calibri" w:hAnsi="Calibri" w:cs="Calibri"/>
              </w:rPr>
              <w:t>The IMO’s Data Collection System (DCS) enables AER to be calculated for all ships 5000 GT and above trading on international voyages. Data will not be made publicly available,</w:t>
            </w:r>
            <w:r>
              <w:rPr>
                <w:rFonts w:ascii="Calibri" w:eastAsia="Calibri" w:hAnsi="Calibri" w:cs="Calibri"/>
              </w:rPr>
              <w:t xml:space="preserve"> but available on the consent of the shipowner. Estimated data can be used but has lower accuracy.</w:t>
            </w:r>
          </w:p>
        </w:tc>
      </w:tr>
      <w:tr w:rsidR="001E40A1" w14:paraId="69FCBC9C" w14:textId="77777777">
        <w:trPr>
          <w:trHeight w:val="1947"/>
        </w:trPr>
        <w:tc>
          <w:tcPr>
            <w:tcW w:w="1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E" w14:textId="77777777" w:rsidR="001E40A1" w:rsidRDefault="007A0446">
            <w:pPr>
              <w:rPr>
                <w:rFonts w:ascii="Calibri" w:eastAsia="Calibri" w:hAnsi="Calibri" w:cs="Calibri"/>
              </w:rPr>
            </w:pPr>
            <w:r>
              <w:rPr>
                <w:rFonts w:ascii="Calibri" w:eastAsia="Calibri" w:hAnsi="Calibri" w:cs="Calibri"/>
              </w:rPr>
              <w:lastRenderedPageBreak/>
              <w:t xml:space="preserve">Energy efficiency operational Index (EEOI) </w:t>
            </w:r>
          </w:p>
        </w:tc>
        <w:tc>
          <w:tcPr>
            <w:tcW w:w="295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AF" w14:textId="77777777" w:rsidR="001E40A1" w:rsidRDefault="007A0446">
            <w:pPr>
              <w:ind w:left="113" w:right="113"/>
              <w:rPr>
                <w:rFonts w:ascii="Calibri" w:eastAsia="Calibri" w:hAnsi="Calibri" w:cs="Calibri"/>
              </w:rPr>
            </w:pPr>
            <w:r>
              <w:rPr>
                <w:rFonts w:ascii="Calibri" w:eastAsia="Calibri" w:hAnsi="Calibri" w:cs="Calibri"/>
              </w:rPr>
              <w:t xml:space="preserve">The total operational emissions to satisfy transport work demanded, this is usually quantified over a period of </w:t>
            </w:r>
            <w:r>
              <w:rPr>
                <w:rFonts w:ascii="Calibri" w:eastAsia="Calibri" w:hAnsi="Calibri" w:cs="Calibri"/>
              </w:rPr>
              <w:t xml:space="preserve">time which encompasses multiple voyages (e.g. a year). The ratio of a ship's carbon emissions per unit of transport work (e.g., cargo x nm sailed).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B0" w14:textId="77777777" w:rsidR="001E40A1" w:rsidRDefault="007A0446">
            <w:pPr>
              <w:ind w:left="113" w:right="113"/>
              <w:rPr>
                <w:rFonts w:ascii="Calibri" w:eastAsia="Calibri" w:hAnsi="Calibri" w:cs="Calibri"/>
              </w:rPr>
            </w:pPr>
            <w:r>
              <w:rPr>
                <w:rFonts w:ascii="Calibri" w:eastAsia="Calibri" w:hAnsi="Calibri" w:cs="Calibri"/>
              </w:rPr>
              <w:t xml:space="preserve">Considered the ultimate measurement of a ship‘s estimated real world efficiency in that it incorporates all of the components listed above, emissions when the ship is in port/anchor etc. This is what the EEOI metric is attempting to measure. </w:t>
            </w:r>
          </w:p>
        </w:tc>
        <w:tc>
          <w:tcPr>
            <w:tcW w:w="283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tcPr>
          <w:p w14:paraId="000002B1" w14:textId="77777777" w:rsidR="001E40A1" w:rsidRDefault="007A0446">
            <w:pPr>
              <w:ind w:left="113" w:right="113"/>
              <w:rPr>
                <w:rFonts w:ascii="Calibri" w:eastAsia="Calibri" w:hAnsi="Calibri" w:cs="Calibri"/>
              </w:rPr>
            </w:pPr>
            <w:r>
              <w:rPr>
                <w:rFonts w:ascii="Calibri" w:eastAsia="Calibri" w:hAnsi="Calibri" w:cs="Calibri"/>
              </w:rPr>
              <w:t>The EU MRV ha</w:t>
            </w:r>
            <w:r>
              <w:rPr>
                <w:rFonts w:ascii="Calibri" w:eastAsia="Calibri" w:hAnsi="Calibri" w:cs="Calibri"/>
              </w:rPr>
              <w:t>s made EEOI publicly available for voyages into and out of the EU. Estimated data could be used but has lower accuracy.</w:t>
            </w:r>
          </w:p>
        </w:tc>
      </w:tr>
    </w:tbl>
    <w:p w14:paraId="000002B2" w14:textId="77777777" w:rsidR="001E40A1" w:rsidRDefault="007A0446">
      <w:pPr>
        <w:rPr>
          <w:rFonts w:ascii="Calibri" w:eastAsia="Calibri" w:hAnsi="Calibri" w:cs="Calibri"/>
          <w:b/>
        </w:rPr>
      </w:pPr>
      <w:r>
        <w:rPr>
          <w:rFonts w:ascii="Calibri" w:eastAsia="Calibri" w:hAnsi="Calibri" w:cs="Calibri"/>
          <w:b/>
        </w:rPr>
        <w:t>Table 10. Definitions of carbon intensity in Shipping</w:t>
      </w:r>
    </w:p>
    <w:p w14:paraId="000002B3" w14:textId="77777777" w:rsidR="001E40A1" w:rsidRDefault="007A0446">
      <w:pPr>
        <w:jc w:val="both"/>
        <w:rPr>
          <w:rFonts w:ascii="Calibri" w:eastAsia="Calibri" w:hAnsi="Calibri" w:cs="Calibri"/>
        </w:rPr>
      </w:pPr>
      <w:r>
        <w:rPr>
          <w:rFonts w:ascii="Calibri" w:eastAsia="Calibri" w:hAnsi="Calibri" w:cs="Calibri"/>
        </w:rPr>
        <w:t>Efficiency metrics (gCO2/tonne-nm) allow for an apple-to-apple comparison between</w:t>
      </w:r>
      <w:r>
        <w:rPr>
          <w:rFonts w:ascii="Calibri" w:eastAsia="Calibri" w:hAnsi="Calibri" w:cs="Calibri"/>
        </w:rPr>
        <w:t xml:space="preserve"> two vessels whose cargo movements produce different levels of transport work. They also enable the tracking of progress over time and comparison across different shipping fleets, companies, and different modes of transport. </w:t>
      </w:r>
    </w:p>
    <w:p w14:paraId="000002B4" w14:textId="77777777" w:rsidR="001E40A1" w:rsidRDefault="001E40A1">
      <w:pPr>
        <w:jc w:val="both"/>
        <w:rPr>
          <w:rFonts w:ascii="Calibri" w:eastAsia="Calibri" w:hAnsi="Calibri" w:cs="Calibri"/>
        </w:rPr>
      </w:pPr>
    </w:p>
    <w:p w14:paraId="000002B5" w14:textId="77777777" w:rsidR="001E40A1" w:rsidRDefault="007A0446">
      <w:pPr>
        <w:jc w:val="both"/>
        <w:rPr>
          <w:rFonts w:ascii="Calibri" w:eastAsia="Calibri" w:hAnsi="Calibri" w:cs="Calibri"/>
        </w:rPr>
      </w:pPr>
      <w:r>
        <w:rPr>
          <w:rFonts w:ascii="Calibri" w:eastAsia="Calibri" w:hAnsi="Calibri" w:cs="Calibri"/>
        </w:rPr>
        <w:t>The carbon intensity of a shi</w:t>
      </w:r>
      <w:r>
        <w:rPr>
          <w:rFonts w:ascii="Calibri" w:eastAsia="Calibri" w:hAnsi="Calibri" w:cs="Calibri"/>
        </w:rPr>
        <w:t>p in real operating conditions is known as the Energy Efficiency Operational Index (EEOI). It is the metric adopted by the IMO and represents the CO2 emitted per tonne nautical mile for a voyage or specific time period. It can either be calculated from fue</w:t>
      </w:r>
      <w:r>
        <w:rPr>
          <w:rFonts w:ascii="Calibri" w:eastAsia="Calibri" w:hAnsi="Calibri" w:cs="Calibri"/>
        </w:rPr>
        <w:t>l consumption measurements and information on cargo carried and distance travelled or estimated using satellite tracking data and fleet technical specifications. EEOI therefore accounts for the real operating conditions of the vessel and their impact on fu</w:t>
      </w:r>
      <w:r>
        <w:rPr>
          <w:rFonts w:ascii="Calibri" w:eastAsia="Calibri" w:hAnsi="Calibri" w:cs="Calibri"/>
        </w:rPr>
        <w:t>el consumption (e.g., speed, weather, draught). and is therefore a more accurate representation of the CO2 efficiency than if the efficiency were estimated in the vessel’s designed (or optimal operating) condition as is done by the Energy Efficiency Design</w:t>
      </w:r>
      <w:r>
        <w:rPr>
          <w:rFonts w:ascii="Calibri" w:eastAsia="Calibri" w:hAnsi="Calibri" w:cs="Calibri"/>
        </w:rPr>
        <w:t xml:space="preserve"> Indicator (EEDI) or EVDI. The as-designed efficiency assumes that a ship operates in its designed speed (often above the actual ship speed) in ideal weather conditions and is fully loaded.</w:t>
      </w:r>
    </w:p>
    <w:p w14:paraId="000002B6" w14:textId="77777777" w:rsidR="001E40A1" w:rsidRDefault="001E40A1">
      <w:pPr>
        <w:jc w:val="both"/>
        <w:rPr>
          <w:rFonts w:ascii="Calibri" w:eastAsia="Calibri" w:hAnsi="Calibri" w:cs="Calibri"/>
        </w:rPr>
      </w:pPr>
    </w:p>
    <w:p w14:paraId="000002B7" w14:textId="77777777" w:rsidR="001E40A1" w:rsidRDefault="007A0446">
      <w:pPr>
        <w:jc w:val="both"/>
        <w:rPr>
          <w:rFonts w:ascii="Calibri" w:eastAsia="Calibri" w:hAnsi="Calibri" w:cs="Calibri"/>
        </w:rPr>
      </w:pPr>
      <w:r>
        <w:rPr>
          <w:rFonts w:ascii="Calibri" w:eastAsia="Calibri" w:hAnsi="Calibri" w:cs="Calibri"/>
        </w:rPr>
        <w:t>The EEOI is influenced by speed, utilisation and a ship’s technic</w:t>
      </w:r>
      <w:r>
        <w:rPr>
          <w:rFonts w:ascii="Calibri" w:eastAsia="Calibri" w:hAnsi="Calibri" w:cs="Calibri"/>
        </w:rPr>
        <w:t>al efficiency. Increasing the energy efficiency of a ship lowers the EEOI, controlling for all other factors. In practice however, there could be rebound effects as a result of the lower marginal operating cost from the technical efficiency improvement. If</w:t>
      </w:r>
      <w:r>
        <w:rPr>
          <w:rFonts w:ascii="Calibri" w:eastAsia="Calibri" w:hAnsi="Calibri" w:cs="Calibri"/>
        </w:rPr>
        <w:t xml:space="preserve"> the ship is operating on zero emissions fuels, this rebound effect is no longer an issue. </w:t>
      </w:r>
    </w:p>
    <w:p w14:paraId="000002B8" w14:textId="77777777" w:rsidR="001E40A1" w:rsidRDefault="001E40A1">
      <w:pPr>
        <w:jc w:val="both"/>
        <w:rPr>
          <w:rFonts w:ascii="Calibri" w:eastAsia="Calibri" w:hAnsi="Calibri" w:cs="Calibri"/>
        </w:rPr>
      </w:pPr>
    </w:p>
    <w:p w14:paraId="000002B9" w14:textId="77777777" w:rsidR="001E40A1" w:rsidRDefault="007A0446">
      <w:pPr>
        <w:jc w:val="both"/>
        <w:rPr>
          <w:rFonts w:ascii="Calibri" w:eastAsia="Calibri" w:hAnsi="Calibri" w:cs="Calibri"/>
        </w:rPr>
      </w:pPr>
      <w:r>
        <w:rPr>
          <w:rFonts w:ascii="Calibri" w:eastAsia="Calibri" w:hAnsi="Calibri" w:cs="Calibri"/>
        </w:rPr>
        <w:t>The Annual Efficiency Ratio (AER) measures carbon emissions associated with transport work, but it uses a ship’s size (deadweight) as a proxy for cargo carried. Th</w:t>
      </w:r>
      <w:r>
        <w:rPr>
          <w:rFonts w:ascii="Calibri" w:eastAsia="Calibri" w:hAnsi="Calibri" w:cs="Calibri"/>
        </w:rPr>
        <w:t>is doesn’t provide an apples-to-apples comparison between two ships which carry different cargo amounts. Cargo influences the numerator (carbon emissions) because a ship which carries a larger cargo requires more energy for propulsion and the denominator (</w:t>
      </w:r>
      <w:r>
        <w:rPr>
          <w:rFonts w:ascii="Calibri" w:eastAsia="Calibri" w:hAnsi="Calibri" w:cs="Calibri"/>
        </w:rPr>
        <w:t>transport work is a function of cargo carried and distance). Because ships are not typically fully utilised, the AER would overestimate the efficiency of the ship. The IMO’s Data Collection System, will require data to be collected (e.g., fuel consumption,</w:t>
      </w:r>
      <w:r>
        <w:rPr>
          <w:rFonts w:ascii="Calibri" w:eastAsia="Calibri" w:hAnsi="Calibri" w:cs="Calibri"/>
        </w:rPr>
        <w:t xml:space="preserve"> distance sailed and DWT) for all ships 5000 DWT and will enable the calculation of AER.</w:t>
      </w:r>
    </w:p>
    <w:p w14:paraId="000002BA" w14:textId="77777777" w:rsidR="001E40A1" w:rsidRDefault="001E40A1">
      <w:pPr>
        <w:jc w:val="both"/>
        <w:rPr>
          <w:rFonts w:ascii="Calibri" w:eastAsia="Calibri" w:hAnsi="Calibri" w:cs="Calibri"/>
        </w:rPr>
      </w:pPr>
    </w:p>
    <w:p w14:paraId="000002BB" w14:textId="77777777" w:rsidR="001E40A1" w:rsidRDefault="007A0446">
      <w:pPr>
        <w:jc w:val="both"/>
        <w:rPr>
          <w:rFonts w:ascii="Calibri" w:eastAsia="Calibri" w:hAnsi="Calibri" w:cs="Calibri"/>
        </w:rPr>
      </w:pPr>
      <w:r>
        <w:rPr>
          <w:rFonts w:ascii="Calibri" w:eastAsia="Calibri" w:hAnsi="Calibri" w:cs="Calibri"/>
        </w:rPr>
        <w:t>The Clean Cargo Working Group, a global carrier-shipper initiative dedicated to environmental performance improvement in marine container transport through measuremen</w:t>
      </w:r>
      <w:r>
        <w:rPr>
          <w:rFonts w:ascii="Calibri" w:eastAsia="Calibri" w:hAnsi="Calibri" w:cs="Calibri"/>
        </w:rPr>
        <w:t xml:space="preserve">t, evaluation, and reporting, uses a modified version of the Annual Efficiency Ratio for carbon intensity reporting. It applies a utilisation factor of 70% to estimate EEOI. </w:t>
      </w:r>
    </w:p>
    <w:p w14:paraId="000002BC" w14:textId="77777777" w:rsidR="001E40A1" w:rsidRDefault="001E40A1">
      <w:pPr>
        <w:jc w:val="both"/>
        <w:rPr>
          <w:rFonts w:ascii="Calibri" w:eastAsia="Calibri" w:hAnsi="Calibri" w:cs="Calibri"/>
        </w:rPr>
      </w:pPr>
    </w:p>
    <w:p w14:paraId="000002BD" w14:textId="77777777" w:rsidR="001E40A1" w:rsidRDefault="007A0446">
      <w:pPr>
        <w:jc w:val="both"/>
        <w:rPr>
          <w:rFonts w:ascii="Calibri" w:eastAsia="Calibri" w:hAnsi="Calibri" w:cs="Calibri"/>
        </w:rPr>
      </w:pPr>
      <w:r>
        <w:rPr>
          <w:rFonts w:ascii="Calibri" w:eastAsia="Calibri" w:hAnsi="Calibri" w:cs="Calibri"/>
        </w:rPr>
        <w:t>The CDP 2018 transport services climate change questionnaire request companies t</w:t>
      </w:r>
      <w:r>
        <w:rPr>
          <w:rFonts w:ascii="Calibri" w:eastAsia="Calibri" w:hAnsi="Calibri" w:cs="Calibri"/>
        </w:rPr>
        <w:t>o report primary intensity metrics. These metrics measure the efficiency of transportation based on the actual work being done. The work done is expressed as a common unit in tons of CO2e per unit of goods/passengers, per unit of distance. The framework pr</w:t>
      </w:r>
      <w:r>
        <w:rPr>
          <w:rFonts w:ascii="Calibri" w:eastAsia="Calibri" w:hAnsi="Calibri" w:cs="Calibri"/>
        </w:rPr>
        <w:t>esents a harmonized approach to calculating both absolute emissions and emission intensity across all transport modes in the 2018 CDP questionnaire. Wherever possible, the GLEC framework has aligned its approach to existing sector methodologies that have a</w:t>
      </w:r>
      <w:r>
        <w:rPr>
          <w:rFonts w:ascii="Calibri" w:eastAsia="Calibri" w:hAnsi="Calibri" w:cs="Calibri"/>
        </w:rPr>
        <w:t>lready been developed and are widely used within the logistics sector.</w:t>
      </w:r>
      <w:r>
        <w:rPr>
          <w:rFonts w:ascii="Calibri" w:eastAsia="Calibri" w:hAnsi="Calibri" w:cs="Calibri"/>
          <w:color w:val="000000"/>
          <w:vertAlign w:val="superscript"/>
        </w:rPr>
        <w:footnoteReference w:id="49"/>
      </w:r>
      <w:r>
        <w:rPr>
          <w:rFonts w:ascii="Calibri" w:eastAsia="Calibri" w:hAnsi="Calibri" w:cs="Calibri"/>
        </w:rPr>
        <w:t xml:space="preserve">  In shipping, GLEC has adopted two leading standards as base methodologies: the International Maritime Organization’s (IMO) Ship Energy Efficiency Operational Indicator (EEOI) and Clean Cargo Working Group (CCWG) CO2 Methodology (IMO, 2009; CCWG, 2014). T</w:t>
      </w:r>
      <w:r>
        <w:rPr>
          <w:rFonts w:ascii="Calibri" w:eastAsia="Calibri" w:hAnsi="Calibri" w:cs="Calibri"/>
        </w:rPr>
        <w:t xml:space="preserve">he Framework recommends upscaling emissions to include upstream emissions (well-to-wheel accounting) and upscaling CO2 emissions to CO2-equivalent emissions. </w:t>
      </w:r>
    </w:p>
    <w:p w14:paraId="000002BE" w14:textId="77777777" w:rsidR="001E40A1" w:rsidRDefault="001E40A1">
      <w:pPr>
        <w:rPr>
          <w:rFonts w:ascii="Calibri" w:eastAsia="Calibri" w:hAnsi="Calibri" w:cs="Calibri"/>
        </w:rPr>
      </w:pPr>
    </w:p>
    <w:p w14:paraId="000002BF" w14:textId="77777777" w:rsidR="001E40A1" w:rsidRDefault="001E40A1">
      <w:pPr>
        <w:rPr>
          <w:rFonts w:ascii="Calibri" w:eastAsia="Calibri" w:hAnsi="Calibri" w:cs="Calibri"/>
        </w:rPr>
      </w:pPr>
    </w:p>
    <w:p w14:paraId="000002C0" w14:textId="77777777" w:rsidR="001E40A1" w:rsidRDefault="001E40A1">
      <w:pPr>
        <w:rPr>
          <w:rFonts w:ascii="Calibri" w:eastAsia="Calibri" w:hAnsi="Calibri" w:cs="Calibri"/>
        </w:rPr>
      </w:pPr>
    </w:p>
    <w:p w14:paraId="000002C1" w14:textId="77777777" w:rsidR="001E40A1" w:rsidRDefault="007A0446">
      <w:pPr>
        <w:rPr>
          <w:rFonts w:ascii="Calibri" w:eastAsia="Calibri" w:hAnsi="Calibri" w:cs="Calibri"/>
        </w:rPr>
      </w:pPr>
      <w:r>
        <w:br w:type="page"/>
      </w:r>
    </w:p>
    <w:p w14:paraId="000002C2" w14:textId="77777777" w:rsidR="001E40A1" w:rsidRDefault="007A0446">
      <w:pPr>
        <w:pStyle w:val="Heading1"/>
      </w:pPr>
      <w:bookmarkStart w:id="51" w:name="_heading=h.2lwamvv" w:colFirst="0" w:colLast="0"/>
      <w:bookmarkEnd w:id="51"/>
      <w:r>
        <w:lastRenderedPageBreak/>
        <w:t>Appendix 3: Decarbonisation Trajectories</w:t>
      </w:r>
    </w:p>
    <w:p w14:paraId="000002C3" w14:textId="77777777" w:rsidR="001E40A1" w:rsidRDefault="001E40A1">
      <w:pPr>
        <w:rPr>
          <w:rFonts w:ascii="Calibri" w:eastAsia="Calibri" w:hAnsi="Calibri" w:cs="Calibri"/>
          <w:b/>
        </w:rPr>
      </w:pPr>
    </w:p>
    <w:p w14:paraId="000002C4" w14:textId="77777777" w:rsidR="001E40A1" w:rsidRDefault="007A0446">
      <w:pPr>
        <w:rPr>
          <w:rFonts w:ascii="Calibri" w:eastAsia="Calibri" w:hAnsi="Calibri" w:cs="Calibri"/>
          <w:b/>
        </w:rPr>
      </w:pPr>
      <w:r>
        <w:rPr>
          <w:rFonts w:ascii="Calibri" w:eastAsia="Calibri" w:hAnsi="Calibri" w:cs="Calibri"/>
          <w:b/>
        </w:rPr>
        <w:t>Calculation of decarbonization trajectories per ship type and size category:</w:t>
      </w:r>
    </w:p>
    <w:p w14:paraId="000002C5" w14:textId="77777777" w:rsidR="001E40A1" w:rsidRDefault="007A0446">
      <w:pPr>
        <w:jc w:val="both"/>
        <w:rPr>
          <w:rFonts w:ascii="Calibri" w:eastAsia="Calibri" w:hAnsi="Calibri" w:cs="Calibri"/>
          <w:b/>
        </w:rPr>
      </w:pPr>
      <w:r>
        <w:rPr>
          <w:rFonts w:ascii="Calibri" w:eastAsia="Calibri" w:hAnsi="Calibri" w:cs="Calibri"/>
        </w:rPr>
        <w:t>The following describes the method applied for establishing the target carbon intensity for a given ship type and size category in a given year. This is carried out by calculating</w:t>
      </w:r>
      <w:r>
        <w:rPr>
          <w:rFonts w:ascii="Calibri" w:eastAsia="Calibri" w:hAnsi="Calibri" w:cs="Calibri"/>
        </w:rPr>
        <w:t xml:space="preserve"> a decarbonization-consistent carbon intensity trajectory from 2012 out to 2050. The method is derived from IMO Secretariat-commissioned data sources, both the Third IMO GHG Study and publication IMO MEPC 68 Inf. 24. Assumptions for formulating the traject</w:t>
      </w:r>
      <w:r>
        <w:rPr>
          <w:rFonts w:ascii="Calibri" w:eastAsia="Calibri" w:hAnsi="Calibri" w:cs="Calibri"/>
        </w:rPr>
        <w:t>ory are also taken from the Initial IMO GHG Strategy, including the use of a 2008 baseline.</w:t>
      </w:r>
    </w:p>
    <w:p w14:paraId="000002C6" w14:textId="77777777" w:rsidR="001E40A1" w:rsidRDefault="001E40A1">
      <w:pPr>
        <w:widowControl w:val="0"/>
        <w:pBdr>
          <w:top w:val="nil"/>
          <w:left w:val="nil"/>
          <w:bottom w:val="nil"/>
          <w:right w:val="nil"/>
          <w:between w:val="nil"/>
        </w:pBdr>
        <w:spacing w:before="7"/>
        <w:jc w:val="both"/>
        <w:rPr>
          <w:rFonts w:ascii="Calibri" w:eastAsia="Calibri" w:hAnsi="Calibri" w:cs="Calibri"/>
          <w:color w:val="000000"/>
        </w:rPr>
      </w:pPr>
    </w:p>
    <w:p w14:paraId="000002C7" w14:textId="77777777" w:rsidR="001E40A1" w:rsidRDefault="007A0446">
      <w:pPr>
        <w:jc w:val="both"/>
        <w:rPr>
          <w:rFonts w:ascii="Calibri" w:eastAsia="Calibri" w:hAnsi="Calibri" w:cs="Calibri"/>
          <w:b/>
        </w:rPr>
      </w:pPr>
      <w:r>
        <w:rPr>
          <w:rFonts w:ascii="Calibri" w:eastAsia="Calibri" w:hAnsi="Calibri" w:cs="Calibri"/>
          <w:b/>
        </w:rPr>
        <w:t>Ship type and size definitions:</w:t>
      </w:r>
    </w:p>
    <w:p w14:paraId="000002C8" w14:textId="77777777" w:rsidR="001E40A1" w:rsidRDefault="007A0446">
      <w:pPr>
        <w:jc w:val="both"/>
        <w:rPr>
          <w:rFonts w:ascii="Calibri" w:eastAsia="Calibri" w:hAnsi="Calibri" w:cs="Calibri"/>
          <w:b/>
        </w:rPr>
      </w:pPr>
      <w:r>
        <w:rPr>
          <w:rFonts w:ascii="Calibri" w:eastAsia="Calibri" w:hAnsi="Calibri" w:cs="Calibri"/>
        </w:rPr>
        <w:t>Carbon intensities vary as a function of ship type and size, as well as a ship’s technical and operational specification. To enable</w:t>
      </w:r>
      <w:r>
        <w:rPr>
          <w:rFonts w:ascii="Calibri" w:eastAsia="Calibri" w:hAnsi="Calibri" w:cs="Calibri"/>
        </w:rPr>
        <w:t xml:space="preserve"> the carbon intensity of ships to be compared to a peer group of ships of a similar type and size, a classification system is applied. The classification system is taken from the Third IMO GHG Study,</w:t>
      </w:r>
      <w:r>
        <w:rPr>
          <w:rFonts w:ascii="Calibri" w:eastAsia="Calibri" w:hAnsi="Calibri" w:cs="Calibri"/>
          <w:vertAlign w:val="superscript"/>
        </w:rPr>
        <w:footnoteReference w:id="50"/>
      </w:r>
      <w:r>
        <w:rPr>
          <w:rFonts w:ascii="Calibri" w:eastAsia="Calibri" w:hAnsi="Calibri" w:cs="Calibri"/>
        </w:rPr>
        <w:t xml:space="preserve"> to enable consistency with the IMO’s process. Full det</w:t>
      </w:r>
      <w:r>
        <w:rPr>
          <w:rFonts w:ascii="Calibri" w:eastAsia="Calibri" w:hAnsi="Calibri" w:cs="Calibri"/>
        </w:rPr>
        <w:t>ails of the definitions can be found in that document. In the event that the IMO updates the classification system used in future work, a decision on whether to update the classification system used in the Poseidon Principles will be taken.</w:t>
      </w:r>
    </w:p>
    <w:p w14:paraId="000002C9" w14:textId="77777777" w:rsidR="001E40A1" w:rsidRDefault="001E40A1">
      <w:pPr>
        <w:widowControl w:val="0"/>
        <w:pBdr>
          <w:top w:val="nil"/>
          <w:left w:val="nil"/>
          <w:bottom w:val="nil"/>
          <w:right w:val="nil"/>
          <w:between w:val="nil"/>
        </w:pBdr>
        <w:spacing w:before="8"/>
        <w:jc w:val="both"/>
        <w:rPr>
          <w:rFonts w:ascii="Calibri" w:eastAsia="Calibri" w:hAnsi="Calibri" w:cs="Calibri"/>
          <w:color w:val="000000"/>
        </w:rPr>
      </w:pPr>
    </w:p>
    <w:p w14:paraId="000002CA" w14:textId="77777777" w:rsidR="001E40A1" w:rsidRDefault="007A0446">
      <w:pPr>
        <w:jc w:val="both"/>
        <w:rPr>
          <w:rFonts w:ascii="Calibri" w:eastAsia="Calibri" w:hAnsi="Calibri" w:cs="Calibri"/>
          <w:b/>
        </w:rPr>
      </w:pPr>
      <w:r>
        <w:rPr>
          <w:rFonts w:ascii="Calibri" w:eastAsia="Calibri" w:hAnsi="Calibri" w:cs="Calibri"/>
          <w:b/>
        </w:rPr>
        <w:t>Estimating the</w:t>
      </w:r>
      <w:r>
        <w:rPr>
          <w:rFonts w:ascii="Calibri" w:eastAsia="Calibri" w:hAnsi="Calibri" w:cs="Calibri"/>
          <w:b/>
        </w:rPr>
        <w:t xml:space="preserve"> ship type and size-specific carbon intensity:</w:t>
      </w:r>
    </w:p>
    <w:p w14:paraId="000002CB" w14:textId="77777777" w:rsidR="001E40A1" w:rsidRDefault="007A0446">
      <w:pPr>
        <w:jc w:val="both"/>
        <w:rPr>
          <w:rFonts w:ascii="Calibri" w:eastAsia="Calibri" w:hAnsi="Calibri" w:cs="Calibri"/>
          <w:b/>
        </w:rPr>
      </w:pPr>
      <w:r>
        <w:rPr>
          <w:rFonts w:ascii="Calibri" w:eastAsia="Calibri" w:hAnsi="Calibri" w:cs="Calibri"/>
        </w:rPr>
        <w:t>Publication IMO MEPC 68 INF. 24, commissioned by the IMO Secretariat, is an addendum to the Third IMO GHG Study and contains a dataset estimating the carbon intensities of individual ship types and sizes betwe</w:t>
      </w:r>
      <w:r>
        <w:rPr>
          <w:rFonts w:ascii="Calibri" w:eastAsia="Calibri" w:hAnsi="Calibri" w:cs="Calibri"/>
        </w:rPr>
        <w:t>en 2010 and 2012. The dataset currently provides the most up-to-date source of IMO-recognized information for the calculation of decarbonization trajectories, but as more recent data becomes available (for example in the Fourth IMO GHG Study), the trajecto</w:t>
      </w:r>
      <w:r>
        <w:rPr>
          <w:rFonts w:ascii="Calibri" w:eastAsia="Calibri" w:hAnsi="Calibri" w:cs="Calibri"/>
        </w:rPr>
        <w:t>ries can be updated.</w:t>
      </w:r>
    </w:p>
    <w:p w14:paraId="000002CC" w14:textId="77777777" w:rsidR="001E40A1" w:rsidRDefault="001E40A1">
      <w:pPr>
        <w:jc w:val="both"/>
        <w:rPr>
          <w:rFonts w:ascii="Calibri" w:eastAsia="Calibri" w:hAnsi="Calibri" w:cs="Calibri"/>
        </w:rPr>
      </w:pPr>
    </w:p>
    <w:p w14:paraId="000002CD" w14:textId="77777777" w:rsidR="001E40A1" w:rsidRDefault="007A0446">
      <w:pPr>
        <w:jc w:val="both"/>
        <w:rPr>
          <w:rFonts w:ascii="Calibri" w:eastAsia="Calibri" w:hAnsi="Calibri" w:cs="Calibri"/>
        </w:rPr>
      </w:pPr>
      <w:r>
        <w:rPr>
          <w:rFonts w:ascii="Calibri" w:eastAsia="Calibri" w:hAnsi="Calibri" w:cs="Calibri"/>
        </w:rPr>
        <w:t>The most recent and the most accurate data in the publication is for the year 2012, and therefore this is used as the historical data edge for subsequent steps of the method.</w:t>
      </w:r>
    </w:p>
    <w:p w14:paraId="000002CE" w14:textId="77777777" w:rsidR="001E40A1" w:rsidRDefault="001E40A1">
      <w:pPr>
        <w:widowControl w:val="0"/>
        <w:pBdr>
          <w:top w:val="nil"/>
          <w:left w:val="nil"/>
          <w:bottom w:val="nil"/>
          <w:right w:val="nil"/>
          <w:between w:val="nil"/>
        </w:pBdr>
        <w:spacing w:before="8"/>
        <w:jc w:val="both"/>
        <w:rPr>
          <w:rFonts w:ascii="Calibri" w:eastAsia="Calibri" w:hAnsi="Calibri" w:cs="Calibri"/>
          <w:b/>
          <w:color w:val="000000"/>
        </w:rPr>
      </w:pPr>
    </w:p>
    <w:p w14:paraId="000002CF" w14:textId="77777777" w:rsidR="001E40A1" w:rsidRDefault="007A0446">
      <w:pPr>
        <w:widowControl w:val="0"/>
        <w:pBdr>
          <w:top w:val="nil"/>
          <w:left w:val="nil"/>
          <w:bottom w:val="nil"/>
          <w:right w:val="nil"/>
          <w:between w:val="nil"/>
        </w:pBdr>
        <w:spacing w:before="8"/>
        <w:jc w:val="both"/>
        <w:rPr>
          <w:rFonts w:ascii="Calibri" w:eastAsia="Calibri" w:hAnsi="Calibri" w:cs="Calibri"/>
          <w:b/>
          <w:color w:val="000000"/>
        </w:rPr>
      </w:pPr>
      <w:r>
        <w:rPr>
          <w:rFonts w:ascii="Calibri" w:eastAsia="Calibri" w:hAnsi="Calibri" w:cs="Calibri"/>
          <w:b/>
          <w:color w:val="000000"/>
        </w:rPr>
        <w:t>Estimating the carbon intensity improvement required across all ship types:</w:t>
      </w:r>
    </w:p>
    <w:p w14:paraId="000002D0" w14:textId="77777777" w:rsidR="001E40A1" w:rsidRDefault="007A0446">
      <w:pPr>
        <w:jc w:val="both"/>
        <w:rPr>
          <w:rFonts w:ascii="Calibri" w:eastAsia="Calibri" w:hAnsi="Calibri" w:cs="Calibri"/>
        </w:rPr>
      </w:pPr>
      <w:r>
        <w:rPr>
          <w:rFonts w:ascii="Calibri" w:eastAsia="Calibri" w:hAnsi="Calibri" w:cs="Calibri"/>
        </w:rPr>
        <w:t>The overall (all ship type and size categories included as international shipping) improvement required in carbon intensity is calculated from:</w:t>
      </w:r>
    </w:p>
    <w:p w14:paraId="000002D1" w14:textId="77777777" w:rsidR="001E40A1" w:rsidRDefault="007A044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projection of the foreseeable grow</w:t>
      </w:r>
      <w:r>
        <w:rPr>
          <w:rFonts w:ascii="Calibri" w:eastAsia="Calibri" w:hAnsi="Calibri" w:cs="Calibri"/>
          <w:color w:val="000000"/>
        </w:rPr>
        <w:t>th in tnm across all ship types between baseline (2012) and the target year (2050).</w:t>
      </w:r>
    </w:p>
    <w:p w14:paraId="000002D2" w14:textId="77777777" w:rsidR="001E40A1" w:rsidRDefault="007A0446">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target CO2 emissions in 2050</w:t>
      </w:r>
    </w:p>
    <w:p w14:paraId="000002D3" w14:textId="77777777" w:rsidR="001E40A1" w:rsidRDefault="001E40A1">
      <w:pPr>
        <w:rPr>
          <w:rFonts w:ascii="Calibri" w:eastAsia="Calibri" w:hAnsi="Calibri" w:cs="Calibri"/>
        </w:rPr>
      </w:pPr>
    </w:p>
    <w:p w14:paraId="000002D4" w14:textId="77777777" w:rsidR="001E40A1" w:rsidRDefault="007A0446">
      <w:pPr>
        <w:jc w:val="both"/>
        <w:rPr>
          <w:rFonts w:ascii="Calibri" w:eastAsia="Calibri" w:hAnsi="Calibri" w:cs="Calibri"/>
        </w:rPr>
      </w:pPr>
      <w:r>
        <w:rPr>
          <w:rFonts w:ascii="Calibri" w:eastAsia="Calibri" w:hAnsi="Calibri" w:cs="Calibri"/>
        </w:rPr>
        <w:t>The projection of foreseeable growth is taken from the Third IMO GHG Study scenario RCP 2.6 SSP2. This scenario is selected because it is most aligned with decarbonization in the wider economy, and most closely represents the rate of GDP and trade growth t</w:t>
      </w:r>
      <w:r>
        <w:rPr>
          <w:rFonts w:ascii="Calibri" w:eastAsia="Calibri" w:hAnsi="Calibri" w:cs="Calibri"/>
        </w:rPr>
        <w:t>hat has been observed in recent years (between 2012 and 2018).</w:t>
      </w:r>
    </w:p>
    <w:p w14:paraId="000002D5" w14:textId="77777777" w:rsidR="001E40A1" w:rsidRDefault="001E40A1">
      <w:pPr>
        <w:jc w:val="both"/>
        <w:rPr>
          <w:rFonts w:ascii="Calibri" w:eastAsia="Calibri" w:hAnsi="Calibri" w:cs="Calibri"/>
        </w:rPr>
      </w:pPr>
    </w:p>
    <w:p w14:paraId="000002D6" w14:textId="77777777" w:rsidR="001E40A1" w:rsidRDefault="007A0446">
      <w:pPr>
        <w:jc w:val="both"/>
        <w:rPr>
          <w:rFonts w:ascii="Calibri" w:eastAsia="Calibri" w:hAnsi="Calibri" w:cs="Calibri"/>
        </w:rPr>
      </w:pPr>
      <w:r>
        <w:rPr>
          <w:rFonts w:ascii="Calibri" w:eastAsia="Calibri" w:hAnsi="Calibri" w:cs="Calibri"/>
        </w:rPr>
        <w:t>The estimate of the target CO2 emissions in 2050 is taken by applying the IMO’s Initial Strategy Objective 3 maximum target (100% reduction), to the IMO Initial Strategy’s baseline year (2008)</w:t>
      </w:r>
      <w:r>
        <w:rPr>
          <w:rFonts w:ascii="Calibri" w:eastAsia="Calibri" w:hAnsi="Calibri" w:cs="Calibri"/>
        </w:rPr>
        <w:t xml:space="preserve"> total CO2 emissions (921Mt), taken from the Third IMO GHG Study. The estimate of 2012 emissions is taken from the Third IMO GHG Study. </w:t>
      </w:r>
    </w:p>
    <w:p w14:paraId="000002D7" w14:textId="77777777" w:rsidR="001E40A1" w:rsidRDefault="001E40A1">
      <w:pPr>
        <w:jc w:val="both"/>
        <w:rPr>
          <w:rFonts w:ascii="Calibri" w:eastAsia="Calibri" w:hAnsi="Calibri" w:cs="Calibri"/>
        </w:rPr>
      </w:pPr>
    </w:p>
    <w:p w14:paraId="000002D8" w14:textId="77777777" w:rsidR="001E40A1" w:rsidRDefault="007A0446">
      <w:pPr>
        <w:jc w:val="both"/>
        <w:rPr>
          <w:rFonts w:ascii="Calibri" w:eastAsia="Calibri" w:hAnsi="Calibri" w:cs="Calibri"/>
        </w:rPr>
      </w:pPr>
      <w:r>
        <w:rPr>
          <w:rFonts w:ascii="Calibri" w:eastAsia="Calibri" w:hAnsi="Calibri" w:cs="Calibri"/>
        </w:rPr>
        <w:t>Values for the total transport demand, total CO2 emissions, and aggregate carbon intensity in 2008, 2012, and 2050 are</w:t>
      </w:r>
      <w:r>
        <w:rPr>
          <w:rFonts w:ascii="Calibri" w:eastAsia="Calibri" w:hAnsi="Calibri" w:cs="Calibri"/>
        </w:rPr>
        <w:t xml:space="preserve"> given in Table 15 below.</w:t>
      </w:r>
    </w:p>
    <w:p w14:paraId="000002D9" w14:textId="77777777" w:rsidR="001E40A1" w:rsidRDefault="001E40A1">
      <w:pPr>
        <w:rPr>
          <w:rFonts w:ascii="Calibri" w:eastAsia="Calibri" w:hAnsi="Calibri" w:cs="Calibri"/>
        </w:rPr>
      </w:pPr>
    </w:p>
    <w:p w14:paraId="000002DA" w14:textId="77777777" w:rsidR="001E40A1" w:rsidRDefault="001E40A1">
      <w:pPr>
        <w:rPr>
          <w:rFonts w:ascii="Calibri" w:eastAsia="Calibri" w:hAnsi="Calibri" w:cs="Calibri"/>
        </w:rPr>
      </w:pPr>
    </w:p>
    <w:p w14:paraId="000002DB" w14:textId="77777777" w:rsidR="001E40A1" w:rsidRDefault="001E40A1">
      <w:pPr>
        <w:rPr>
          <w:rFonts w:ascii="Calibri" w:eastAsia="Calibri" w:hAnsi="Calibri" w:cs="Calibri"/>
        </w:rPr>
      </w:pPr>
    </w:p>
    <w:p w14:paraId="000002DC" w14:textId="77777777" w:rsidR="001E40A1" w:rsidRDefault="001E40A1">
      <w:pPr>
        <w:rPr>
          <w:rFonts w:ascii="Calibri" w:eastAsia="Calibri" w:hAnsi="Calibri" w:cs="Calibri"/>
        </w:rPr>
      </w:pPr>
    </w:p>
    <w:p w14:paraId="000002DD" w14:textId="77777777" w:rsidR="001E40A1" w:rsidRDefault="001E40A1">
      <w:pPr>
        <w:rPr>
          <w:rFonts w:ascii="Calibri" w:eastAsia="Calibri" w:hAnsi="Calibri" w:cs="Calibri"/>
        </w:rPr>
      </w:pPr>
    </w:p>
    <w:p w14:paraId="000002DE" w14:textId="77777777" w:rsidR="001E40A1" w:rsidRDefault="001E40A1">
      <w:pPr>
        <w:rPr>
          <w:rFonts w:ascii="Calibri" w:eastAsia="Calibri" w:hAnsi="Calibri" w:cs="Calibri"/>
        </w:rPr>
      </w:pPr>
    </w:p>
    <w:p w14:paraId="000002DF" w14:textId="77777777" w:rsidR="001E40A1" w:rsidRDefault="007A0446">
      <w:pPr>
        <w:spacing w:before="230"/>
        <w:rPr>
          <w:rFonts w:ascii="Calibri" w:eastAsia="Calibri" w:hAnsi="Calibri" w:cs="Calibri"/>
          <w:b/>
        </w:rPr>
      </w:pPr>
      <w:r>
        <w:rPr>
          <w:rFonts w:ascii="Calibri" w:eastAsia="Calibri" w:hAnsi="Calibri" w:cs="Calibri"/>
          <w:b/>
        </w:rPr>
        <w:lastRenderedPageBreak/>
        <w:t>Table 15: Transport demand, emissions, and carbon Intensity for international shipping</w:t>
      </w:r>
    </w:p>
    <w:tbl>
      <w:tblPr>
        <w:tblStyle w:val="a9"/>
        <w:tblW w:w="9005" w:type="dxa"/>
        <w:tblBorders>
          <w:top w:val="single" w:sz="8" w:space="0" w:color="042D40"/>
          <w:left w:val="single" w:sz="8" w:space="0" w:color="042D40"/>
          <w:bottom w:val="single" w:sz="8" w:space="0" w:color="042D40"/>
          <w:right w:val="single" w:sz="8" w:space="0" w:color="042D40"/>
          <w:insideH w:val="single" w:sz="8" w:space="0" w:color="042D40"/>
          <w:insideV w:val="single" w:sz="8" w:space="0" w:color="042D40"/>
        </w:tblBorders>
        <w:tblLayout w:type="fixed"/>
        <w:tblLook w:val="0000" w:firstRow="0" w:lastRow="0" w:firstColumn="0" w:lastColumn="0" w:noHBand="0" w:noVBand="0"/>
      </w:tblPr>
      <w:tblGrid>
        <w:gridCol w:w="4994"/>
        <w:gridCol w:w="1337"/>
        <w:gridCol w:w="1337"/>
        <w:gridCol w:w="1337"/>
      </w:tblGrid>
      <w:tr w:rsidR="001E40A1" w14:paraId="6BCC0386" w14:textId="77777777">
        <w:trPr>
          <w:trHeight w:val="290"/>
        </w:trPr>
        <w:tc>
          <w:tcPr>
            <w:tcW w:w="4994" w:type="dxa"/>
            <w:tcBorders>
              <w:top w:val="nil"/>
              <w:left w:val="nil"/>
            </w:tcBorders>
          </w:tcPr>
          <w:p w14:paraId="000002E0" w14:textId="77777777" w:rsidR="001E40A1" w:rsidRDefault="001E40A1">
            <w:pPr>
              <w:widowControl w:val="0"/>
              <w:pBdr>
                <w:top w:val="nil"/>
                <w:left w:val="nil"/>
                <w:bottom w:val="nil"/>
                <w:right w:val="nil"/>
                <w:between w:val="nil"/>
              </w:pBdr>
              <w:rPr>
                <w:rFonts w:ascii="Calibri" w:eastAsia="Calibri" w:hAnsi="Calibri" w:cs="Calibri"/>
                <w:color w:val="000000"/>
              </w:rPr>
            </w:pPr>
          </w:p>
        </w:tc>
        <w:tc>
          <w:tcPr>
            <w:tcW w:w="1337" w:type="dxa"/>
            <w:shd w:val="clear" w:color="auto" w:fill="809FB3"/>
          </w:tcPr>
          <w:p w14:paraId="000002E1"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b/>
                <w:color w:val="000000"/>
              </w:rPr>
            </w:pPr>
            <w:r>
              <w:rPr>
                <w:rFonts w:ascii="Calibri" w:eastAsia="Calibri" w:hAnsi="Calibri" w:cs="Calibri"/>
                <w:b/>
                <w:color w:val="000000"/>
              </w:rPr>
              <w:t>2018</w:t>
            </w:r>
          </w:p>
        </w:tc>
        <w:tc>
          <w:tcPr>
            <w:tcW w:w="1337" w:type="dxa"/>
            <w:shd w:val="clear" w:color="auto" w:fill="809FB3"/>
          </w:tcPr>
          <w:p w14:paraId="000002E2"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b/>
                <w:color w:val="000000"/>
              </w:rPr>
            </w:pPr>
            <w:r>
              <w:rPr>
                <w:rFonts w:ascii="Calibri" w:eastAsia="Calibri" w:hAnsi="Calibri" w:cs="Calibri"/>
                <w:b/>
                <w:color w:val="000000"/>
              </w:rPr>
              <w:t>2012</w:t>
            </w:r>
          </w:p>
        </w:tc>
        <w:tc>
          <w:tcPr>
            <w:tcW w:w="1337" w:type="dxa"/>
            <w:shd w:val="clear" w:color="auto" w:fill="809FB3"/>
          </w:tcPr>
          <w:p w14:paraId="000002E3"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b/>
                <w:color w:val="000000"/>
              </w:rPr>
            </w:pPr>
            <w:r>
              <w:rPr>
                <w:rFonts w:ascii="Calibri" w:eastAsia="Calibri" w:hAnsi="Calibri" w:cs="Calibri"/>
                <w:b/>
                <w:color w:val="000000"/>
              </w:rPr>
              <w:t>2050</w:t>
            </w:r>
          </w:p>
        </w:tc>
      </w:tr>
      <w:tr w:rsidR="001E40A1" w14:paraId="0CB02F7B" w14:textId="77777777">
        <w:trPr>
          <w:trHeight w:val="290"/>
        </w:trPr>
        <w:tc>
          <w:tcPr>
            <w:tcW w:w="4994" w:type="dxa"/>
          </w:tcPr>
          <w:p w14:paraId="000002E4"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Total transport demand (million tonnes)</w:t>
            </w:r>
          </w:p>
        </w:tc>
        <w:tc>
          <w:tcPr>
            <w:tcW w:w="1337" w:type="dxa"/>
          </w:tcPr>
          <w:p w14:paraId="000002E5"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42,000</w:t>
            </w:r>
          </w:p>
        </w:tc>
        <w:tc>
          <w:tcPr>
            <w:tcW w:w="1337" w:type="dxa"/>
          </w:tcPr>
          <w:p w14:paraId="000002E6"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49,000</w:t>
            </w:r>
          </w:p>
        </w:tc>
        <w:tc>
          <w:tcPr>
            <w:tcW w:w="1337" w:type="dxa"/>
          </w:tcPr>
          <w:p w14:paraId="000002E7"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169,000</w:t>
            </w:r>
          </w:p>
        </w:tc>
      </w:tr>
      <w:tr w:rsidR="001E40A1" w14:paraId="5E1A48A4" w14:textId="77777777">
        <w:trPr>
          <w:trHeight w:val="290"/>
        </w:trPr>
        <w:tc>
          <w:tcPr>
            <w:tcW w:w="4994" w:type="dxa"/>
            <w:shd w:val="clear" w:color="auto" w:fill="EEF3F5"/>
          </w:tcPr>
          <w:p w14:paraId="000002E8"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Total CO</w:t>
            </w:r>
            <w:r>
              <w:rPr>
                <w:rFonts w:ascii="Calibri" w:eastAsia="Calibri" w:hAnsi="Calibri" w:cs="Calibri"/>
                <w:color w:val="000000"/>
                <w:vertAlign w:val="subscript"/>
              </w:rPr>
              <w:t>2</w:t>
            </w:r>
            <w:r>
              <w:rPr>
                <w:rFonts w:ascii="Calibri" w:eastAsia="Calibri" w:hAnsi="Calibri" w:cs="Calibri"/>
                <w:color w:val="000000"/>
              </w:rPr>
              <w:t xml:space="preserve"> emissions (million tonnes)</w:t>
            </w:r>
          </w:p>
        </w:tc>
        <w:tc>
          <w:tcPr>
            <w:tcW w:w="1337" w:type="dxa"/>
            <w:shd w:val="clear" w:color="auto" w:fill="EEF3F5"/>
          </w:tcPr>
          <w:p w14:paraId="000002E9"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921</w:t>
            </w:r>
          </w:p>
        </w:tc>
        <w:tc>
          <w:tcPr>
            <w:tcW w:w="1337" w:type="dxa"/>
            <w:shd w:val="clear" w:color="auto" w:fill="EEF3F5"/>
          </w:tcPr>
          <w:p w14:paraId="000002EA"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796</w:t>
            </w:r>
          </w:p>
        </w:tc>
        <w:tc>
          <w:tcPr>
            <w:tcW w:w="1337" w:type="dxa"/>
            <w:shd w:val="clear" w:color="auto" w:fill="EEF3F5"/>
          </w:tcPr>
          <w:p w14:paraId="000002EB"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0</w:t>
            </w:r>
          </w:p>
        </w:tc>
      </w:tr>
      <w:tr w:rsidR="001E40A1" w14:paraId="316195F1" w14:textId="77777777">
        <w:trPr>
          <w:trHeight w:val="290"/>
        </w:trPr>
        <w:tc>
          <w:tcPr>
            <w:tcW w:w="4994" w:type="dxa"/>
          </w:tcPr>
          <w:p w14:paraId="000002EC"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Estimated aggregate carbon intensity (gCO</w:t>
            </w:r>
            <w:r>
              <w:rPr>
                <w:rFonts w:ascii="Calibri" w:eastAsia="Calibri" w:hAnsi="Calibri" w:cs="Calibri"/>
                <w:color w:val="000000"/>
                <w:vertAlign w:val="subscript"/>
              </w:rPr>
              <w:t>2</w:t>
            </w:r>
            <w:r>
              <w:rPr>
                <w:rFonts w:ascii="Calibri" w:eastAsia="Calibri" w:hAnsi="Calibri" w:cs="Calibri"/>
                <w:color w:val="000000"/>
              </w:rPr>
              <w:t>/tnm)</w:t>
            </w:r>
          </w:p>
        </w:tc>
        <w:tc>
          <w:tcPr>
            <w:tcW w:w="1337" w:type="dxa"/>
          </w:tcPr>
          <w:p w14:paraId="000002ED"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22.0</w:t>
            </w:r>
          </w:p>
        </w:tc>
        <w:tc>
          <w:tcPr>
            <w:tcW w:w="1337" w:type="dxa"/>
          </w:tcPr>
          <w:p w14:paraId="000002EE"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16.0</w:t>
            </w:r>
          </w:p>
        </w:tc>
        <w:tc>
          <w:tcPr>
            <w:tcW w:w="1337" w:type="dxa"/>
          </w:tcPr>
          <w:p w14:paraId="000002EF" w14:textId="77777777" w:rsidR="001E40A1" w:rsidRDefault="007A0446">
            <w:pPr>
              <w:widowControl w:val="0"/>
              <w:pBdr>
                <w:top w:val="nil"/>
                <w:left w:val="nil"/>
                <w:bottom w:val="nil"/>
                <w:right w:val="nil"/>
                <w:between w:val="nil"/>
              </w:pBdr>
              <w:spacing w:before="50" w:line="220" w:lineRule="auto"/>
              <w:ind w:left="80"/>
              <w:rPr>
                <w:rFonts w:ascii="Calibri" w:eastAsia="Calibri" w:hAnsi="Calibri" w:cs="Calibri"/>
                <w:color w:val="000000"/>
              </w:rPr>
            </w:pPr>
            <w:r>
              <w:rPr>
                <w:rFonts w:ascii="Calibri" w:eastAsia="Calibri" w:hAnsi="Calibri" w:cs="Calibri"/>
                <w:color w:val="000000"/>
              </w:rPr>
              <w:t>0</w:t>
            </w:r>
          </w:p>
        </w:tc>
      </w:tr>
    </w:tbl>
    <w:p w14:paraId="000002F0" w14:textId="77777777" w:rsidR="001E40A1" w:rsidRDefault="001E40A1">
      <w:pPr>
        <w:spacing w:before="230"/>
        <w:rPr>
          <w:rFonts w:ascii="Calibri" w:eastAsia="Calibri" w:hAnsi="Calibri" w:cs="Calibri"/>
          <w:b/>
        </w:rPr>
      </w:pPr>
    </w:p>
    <w:p w14:paraId="000002F1" w14:textId="77777777" w:rsidR="001E40A1" w:rsidRDefault="007A0446">
      <w:pPr>
        <w:jc w:val="both"/>
        <w:rPr>
          <w:rFonts w:ascii="Calibri" w:eastAsia="Calibri" w:hAnsi="Calibri" w:cs="Calibri"/>
        </w:rPr>
      </w:pPr>
      <w:r>
        <w:rPr>
          <w:rFonts w:ascii="Calibri" w:eastAsia="Calibri" w:hAnsi="Calibri" w:cs="Calibri"/>
        </w:rPr>
        <w:t>Figure 16 plots the intensity values in Table 5 and a linear trend line connecting them. There are many different assumptions that could be applied to specify the shape of the curve that defines the rate of carbon intensity reduction between 2012 and 2050.</w:t>
      </w:r>
      <w:r>
        <w:rPr>
          <w:rFonts w:ascii="Calibri" w:eastAsia="Calibri" w:hAnsi="Calibri" w:cs="Calibri"/>
        </w:rPr>
        <w:t xml:space="preserve"> However, there is no strong justification for one or another. The chosen trajectory represents a gradual and consistent rate of improvement on average across the fleet; the assumption applied here is for a constant improvement year-on-year, which is descr</w:t>
      </w:r>
      <w:r>
        <w:rPr>
          <w:rFonts w:ascii="Calibri" w:eastAsia="Calibri" w:hAnsi="Calibri" w:cs="Calibri"/>
        </w:rPr>
        <w:t>ibed by a straight line between 2012 and 2050.</w:t>
      </w:r>
    </w:p>
    <w:p w14:paraId="000002F2" w14:textId="77777777" w:rsidR="001E40A1" w:rsidRDefault="001E40A1">
      <w:pPr>
        <w:widowControl w:val="0"/>
        <w:pBdr>
          <w:top w:val="nil"/>
          <w:left w:val="nil"/>
          <w:bottom w:val="nil"/>
          <w:right w:val="nil"/>
          <w:between w:val="nil"/>
        </w:pBdr>
        <w:rPr>
          <w:rFonts w:ascii="Calibri" w:eastAsia="Calibri" w:hAnsi="Calibri" w:cs="Calibri"/>
          <w:b/>
          <w:color w:val="000000"/>
        </w:rPr>
      </w:pPr>
    </w:p>
    <w:p w14:paraId="000002F3" w14:textId="77777777" w:rsidR="001E40A1" w:rsidRDefault="007A0446">
      <w:pPr>
        <w:spacing w:before="116"/>
        <w:rPr>
          <w:rFonts w:ascii="Calibri" w:eastAsia="Calibri" w:hAnsi="Calibri" w:cs="Calibri"/>
          <w:b/>
        </w:rPr>
      </w:pPr>
      <w:r>
        <w:rPr>
          <w:rFonts w:ascii="Calibri" w:eastAsia="Calibri" w:hAnsi="Calibri" w:cs="Calibri"/>
          <w:b/>
          <w:color w:val="042D40"/>
        </w:rPr>
        <w:t>Figure 16. Global carbon intensity trajectory</w:t>
      </w:r>
    </w:p>
    <w:p w14:paraId="000002F4" w14:textId="77777777" w:rsidR="001E40A1" w:rsidRDefault="007A0446">
      <w:pPr>
        <w:widowControl w:val="0"/>
        <w:pBdr>
          <w:top w:val="nil"/>
          <w:left w:val="nil"/>
          <w:bottom w:val="nil"/>
          <w:right w:val="nil"/>
          <w:between w:val="nil"/>
        </w:pBdr>
        <w:spacing w:before="11"/>
        <w:rPr>
          <w:rFonts w:ascii="Calibri" w:eastAsia="Calibri" w:hAnsi="Calibri" w:cs="Calibri"/>
          <w:i/>
          <w:color w:val="000000"/>
        </w:rPr>
      </w:pPr>
      <w:r>
        <w:rPr>
          <w:rFonts w:ascii="Calibri" w:eastAsia="Calibri" w:hAnsi="Calibri" w:cs="Calibri"/>
          <w:noProof/>
          <w:color w:val="000000"/>
        </w:rPr>
        <w:drawing>
          <wp:inline distT="0" distB="0" distL="0" distR="0">
            <wp:extent cx="4648947" cy="2727138"/>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0002F5" w14:textId="77777777" w:rsidR="001E40A1" w:rsidRDefault="001E40A1">
      <w:pPr>
        <w:rPr>
          <w:rFonts w:ascii="Calibri" w:eastAsia="Calibri" w:hAnsi="Calibri" w:cs="Calibri"/>
        </w:rPr>
      </w:pPr>
    </w:p>
    <w:p w14:paraId="000002F6" w14:textId="77777777" w:rsidR="001E40A1" w:rsidRDefault="007A0446">
      <w:pPr>
        <w:jc w:val="both"/>
        <w:rPr>
          <w:rFonts w:ascii="Calibri" w:eastAsia="Calibri" w:hAnsi="Calibri" w:cs="Calibri"/>
        </w:rPr>
      </w:pPr>
      <w:r>
        <w:rPr>
          <w:rFonts w:ascii="Calibri" w:eastAsia="Calibri" w:hAnsi="Calibri" w:cs="Calibri"/>
        </w:rPr>
        <w:t>The trajectory exceeds the IMO Initial Strategy Objective 2 intensity reduction values of 40% (2030) and 70% (2050), because it is derived to ensure achieving the IMO Initial Strategy Objective 3 (the absolute emissions objective). Meeting Objective 3 ensu</w:t>
      </w:r>
      <w:r>
        <w:rPr>
          <w:rFonts w:ascii="Calibri" w:eastAsia="Calibri" w:hAnsi="Calibri" w:cs="Calibri"/>
        </w:rPr>
        <w:t>res that all IMO Initial Strategy Objectives are achieved.</w:t>
      </w:r>
    </w:p>
    <w:p w14:paraId="000002F7" w14:textId="77777777" w:rsidR="001E40A1" w:rsidRDefault="001E40A1">
      <w:pPr>
        <w:rPr>
          <w:rFonts w:ascii="Calibri" w:eastAsia="Calibri" w:hAnsi="Calibri" w:cs="Calibri"/>
        </w:rPr>
        <w:sectPr w:rsidR="001E40A1">
          <w:pgSz w:w="11906" w:h="16838"/>
          <w:pgMar w:top="1280" w:right="1084" w:bottom="1020" w:left="904" w:header="984" w:footer="823" w:gutter="0"/>
          <w:cols w:space="720" w:equalWidth="0">
            <w:col w:w="9360"/>
          </w:cols>
        </w:sectPr>
      </w:pPr>
    </w:p>
    <w:p w14:paraId="000002F8" w14:textId="77777777" w:rsidR="001E40A1" w:rsidRDefault="007A0446">
      <w:pPr>
        <w:spacing w:before="130"/>
        <w:rPr>
          <w:rFonts w:ascii="Calibri" w:eastAsia="Calibri" w:hAnsi="Calibri" w:cs="Calibri"/>
          <w:b/>
        </w:rPr>
      </w:pPr>
      <w:r>
        <w:rPr>
          <w:rFonts w:ascii="Calibri" w:eastAsia="Calibri" w:hAnsi="Calibri" w:cs="Calibri"/>
          <w:b/>
          <w:color w:val="042D40"/>
        </w:rPr>
        <w:lastRenderedPageBreak/>
        <w:t>Calculating the target carbon intensity, corrected to AER, in a given year as a function of the ship type and size</w:t>
      </w:r>
    </w:p>
    <w:p w14:paraId="000002F9" w14:textId="77777777" w:rsidR="001E40A1" w:rsidRDefault="007A0446">
      <w:pPr>
        <w:widowControl w:val="0"/>
        <w:pBdr>
          <w:top w:val="nil"/>
          <w:left w:val="nil"/>
          <w:bottom w:val="nil"/>
          <w:right w:val="nil"/>
          <w:between w:val="nil"/>
        </w:pBdr>
        <w:spacing w:before="100"/>
        <w:jc w:val="both"/>
        <w:rPr>
          <w:rFonts w:ascii="Calibri" w:eastAsia="Calibri" w:hAnsi="Calibri" w:cs="Calibri"/>
          <w:color w:val="000000"/>
        </w:rPr>
      </w:pPr>
      <w:r>
        <w:rPr>
          <w:rFonts w:ascii="Calibri" w:eastAsia="Calibri" w:hAnsi="Calibri" w:cs="Calibri"/>
          <w:color w:val="042D40"/>
        </w:rPr>
        <w:t>The rate of reduction required per year is relative to the las</w:t>
      </w:r>
      <w:r>
        <w:rPr>
          <w:rFonts w:ascii="Calibri" w:eastAsia="Calibri" w:hAnsi="Calibri" w:cs="Calibri"/>
          <w:color w:val="042D40"/>
        </w:rPr>
        <w:t>t historical data point (2012). The trajectory is shown relative to 2012 carbon intensity (indexed to 2012 carbon intensity) in Figure 17. While the trajectory is presented for the time period 2012 to 2050, it is consistent with the 2008 baseline year as s</w:t>
      </w:r>
      <w:r>
        <w:rPr>
          <w:rFonts w:ascii="Calibri" w:eastAsia="Calibri" w:hAnsi="Calibri" w:cs="Calibri"/>
          <w:color w:val="042D40"/>
        </w:rPr>
        <w:t>pecified in the IMO Initial Strategy Objectives as the end point is determined by applying a 100% reduction relative to the baseline. The formula for the trajectory is given in Figure 17, and allows the index value to be calculated for a given year. The in</w:t>
      </w:r>
      <w:r>
        <w:rPr>
          <w:rFonts w:ascii="Calibri" w:eastAsia="Calibri" w:hAnsi="Calibri" w:cs="Calibri"/>
          <w:color w:val="042D40"/>
        </w:rPr>
        <w:t>dex value represents the required carbon intensity value relative to the carbon intensity in 2012.</w:t>
      </w:r>
    </w:p>
    <w:p w14:paraId="000002FA" w14:textId="77777777" w:rsidR="001E40A1" w:rsidRDefault="007A0446">
      <w:pPr>
        <w:widowControl w:val="0"/>
        <w:pBdr>
          <w:top w:val="nil"/>
          <w:left w:val="nil"/>
          <w:bottom w:val="nil"/>
          <w:right w:val="nil"/>
          <w:between w:val="nil"/>
        </w:pBdr>
        <w:spacing w:before="9"/>
        <w:rPr>
          <w:rFonts w:ascii="Calibri" w:eastAsia="Calibri" w:hAnsi="Calibri" w:cs="Calibri"/>
          <w:color w:val="000000"/>
        </w:rPr>
      </w:pPr>
      <w:r>
        <w:rPr>
          <w:rFonts w:ascii="Calibri" w:eastAsia="Calibri" w:hAnsi="Calibri" w:cs="Calibri"/>
          <w:noProof/>
          <w:color w:val="000000"/>
        </w:rPr>
        <w:drawing>
          <wp:inline distT="0" distB="0" distL="0" distR="0">
            <wp:extent cx="4648947" cy="2925482"/>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0002FB" w14:textId="77777777" w:rsidR="001E40A1" w:rsidRDefault="007A0446">
      <w:pPr>
        <w:spacing w:before="98"/>
        <w:rPr>
          <w:rFonts w:ascii="Calibri" w:eastAsia="Calibri" w:hAnsi="Calibri" w:cs="Calibri"/>
          <w:i/>
        </w:rPr>
      </w:pPr>
      <w:r>
        <w:rPr>
          <w:rFonts w:ascii="Calibri" w:eastAsia="Calibri" w:hAnsi="Calibri" w:cs="Calibri"/>
          <w:i/>
          <w:color w:val="042D40"/>
        </w:rPr>
        <w:t>Figure 17. Indexed decarbonization trajectory, from 2012 to 2050</w:t>
      </w:r>
    </w:p>
    <w:p w14:paraId="000002FC" w14:textId="77777777" w:rsidR="001E40A1" w:rsidRDefault="001E40A1">
      <w:pPr>
        <w:widowControl w:val="0"/>
        <w:pBdr>
          <w:top w:val="nil"/>
          <w:left w:val="nil"/>
          <w:bottom w:val="nil"/>
          <w:right w:val="nil"/>
          <w:between w:val="nil"/>
        </w:pBdr>
        <w:spacing w:before="2"/>
        <w:rPr>
          <w:rFonts w:ascii="Calibri" w:eastAsia="Calibri" w:hAnsi="Calibri" w:cs="Calibri"/>
          <w:i/>
          <w:color w:val="000000"/>
        </w:rPr>
      </w:pPr>
    </w:p>
    <w:p w14:paraId="000002FD" w14:textId="77777777" w:rsidR="001E40A1" w:rsidRDefault="007A0446">
      <w:pPr>
        <w:widowControl w:val="0"/>
        <w:pBdr>
          <w:top w:val="nil"/>
          <w:left w:val="nil"/>
          <w:bottom w:val="nil"/>
          <w:right w:val="nil"/>
          <w:between w:val="nil"/>
        </w:pBdr>
        <w:ind w:right="10"/>
        <w:jc w:val="both"/>
        <w:rPr>
          <w:rFonts w:ascii="Calibri" w:eastAsia="Calibri" w:hAnsi="Calibri" w:cs="Calibri"/>
          <w:color w:val="000000"/>
        </w:rPr>
      </w:pPr>
      <w:r>
        <w:rPr>
          <w:rFonts w:ascii="Calibri" w:eastAsia="Calibri" w:hAnsi="Calibri" w:cs="Calibri"/>
          <w:color w:val="042D40"/>
        </w:rPr>
        <w:t>The index currently chosen for CBI is AER (the same metric used for the Poseidon Principles). This index is not explicitly calculated in the study presented in IMO MEPC 68 inf. 24, which is focused on the indicator EEOI. However, the study contains data on</w:t>
      </w:r>
      <w:r>
        <w:rPr>
          <w:rFonts w:ascii="Calibri" w:eastAsia="Calibri" w:hAnsi="Calibri" w:cs="Calibri"/>
          <w:color w:val="042D40"/>
        </w:rPr>
        <w:t xml:space="preserve"> both the EEOI and the average utilization (both mass of cargo as a share of dwt and number of load voyages relative to overall voyages), broken down by ship type and size. The utilization data is therefore used to calculate AER from the median EEOI.</w:t>
      </w:r>
    </w:p>
    <w:p w14:paraId="000002FE" w14:textId="77777777" w:rsidR="001E40A1" w:rsidRDefault="001E40A1">
      <w:pPr>
        <w:widowControl w:val="0"/>
        <w:pBdr>
          <w:top w:val="nil"/>
          <w:left w:val="nil"/>
          <w:bottom w:val="nil"/>
          <w:right w:val="nil"/>
          <w:between w:val="nil"/>
        </w:pBdr>
        <w:rPr>
          <w:rFonts w:ascii="Calibri" w:eastAsia="Calibri" w:hAnsi="Calibri" w:cs="Calibri"/>
          <w:color w:val="000000"/>
        </w:rPr>
      </w:pPr>
    </w:p>
    <w:p w14:paraId="000002FF" w14:textId="77777777" w:rsidR="001E40A1" w:rsidRDefault="007A0446">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42D40"/>
        </w:rPr>
        <w:t xml:space="preserve">The </w:t>
      </w:r>
      <w:r>
        <w:rPr>
          <w:rFonts w:ascii="Calibri" w:eastAsia="Calibri" w:hAnsi="Calibri" w:cs="Calibri"/>
          <w:color w:val="042D40"/>
        </w:rPr>
        <w:t>AER trajectory value for a given year is calculated in the following manner:</w:t>
      </w:r>
    </w:p>
    <w:p w14:paraId="00000300" w14:textId="77777777" w:rsidR="001E40A1" w:rsidRDefault="007A0446">
      <w:pPr>
        <w:numPr>
          <w:ilvl w:val="0"/>
          <w:numId w:val="2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Calculate carbon intensity index for the given year</w:t>
      </w:r>
    </w:p>
    <w:p w14:paraId="00000301" w14:textId="77777777" w:rsidR="001E40A1" w:rsidRDefault="007A0446">
      <w:pPr>
        <w:numPr>
          <w:ilvl w:val="0"/>
          <w:numId w:val="2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Multiply the carbon intensity index by the adjusted median 2012 AER value</w:t>
      </w:r>
    </w:p>
    <w:p w14:paraId="00000302" w14:textId="77777777" w:rsidR="001E40A1" w:rsidRDefault="001E40A1">
      <w:pPr>
        <w:widowControl w:val="0"/>
        <w:pBdr>
          <w:top w:val="nil"/>
          <w:left w:val="nil"/>
          <w:bottom w:val="nil"/>
          <w:right w:val="nil"/>
          <w:between w:val="nil"/>
        </w:pBdr>
        <w:rPr>
          <w:rFonts w:ascii="Calibri" w:eastAsia="Calibri" w:hAnsi="Calibri" w:cs="Calibri"/>
          <w:color w:val="000000"/>
        </w:rPr>
      </w:pPr>
    </w:p>
    <w:p w14:paraId="00000303" w14:textId="77777777" w:rsidR="001E40A1" w:rsidRDefault="007A0446">
      <w:pPr>
        <w:widowControl w:val="0"/>
        <w:pBdr>
          <w:top w:val="nil"/>
          <w:left w:val="nil"/>
          <w:bottom w:val="nil"/>
          <w:right w:val="nil"/>
          <w:between w:val="nil"/>
        </w:pBdr>
        <w:ind w:right="10"/>
        <w:jc w:val="both"/>
        <w:rPr>
          <w:rFonts w:ascii="Calibri" w:eastAsia="Calibri" w:hAnsi="Calibri" w:cs="Calibri"/>
          <w:color w:val="000000"/>
        </w:rPr>
      </w:pPr>
      <w:r>
        <w:rPr>
          <w:rFonts w:ascii="Calibri" w:eastAsia="Calibri" w:hAnsi="Calibri" w:cs="Calibri"/>
          <w:color w:val="042D40"/>
        </w:rPr>
        <w:t xml:space="preserve">The fleet type and size category median values in 2012 are included in Table 6. The AER median values will be adjusted using the average utilisation for each ship type and size. Values for 2019 onwards will be provided in the next update. </w:t>
      </w:r>
    </w:p>
    <w:p w14:paraId="00000304" w14:textId="77777777" w:rsidR="001E40A1" w:rsidRDefault="001E40A1">
      <w:pPr>
        <w:rPr>
          <w:rFonts w:ascii="Calibri" w:eastAsia="Calibri" w:hAnsi="Calibri" w:cs="Calibri"/>
        </w:rPr>
      </w:pPr>
    </w:p>
    <w:p w14:paraId="00000305" w14:textId="77777777" w:rsidR="001E40A1" w:rsidRDefault="001E40A1">
      <w:pPr>
        <w:rPr>
          <w:rFonts w:ascii="Calibri" w:eastAsia="Calibri" w:hAnsi="Calibri" w:cs="Calibri"/>
        </w:rPr>
      </w:pPr>
    </w:p>
    <w:p w14:paraId="00000306" w14:textId="77777777" w:rsidR="001E40A1" w:rsidRDefault="001E40A1">
      <w:pPr>
        <w:rPr>
          <w:rFonts w:ascii="Calibri" w:eastAsia="Calibri" w:hAnsi="Calibri" w:cs="Calibri"/>
        </w:rPr>
      </w:pPr>
    </w:p>
    <w:p w14:paraId="00000307" w14:textId="77777777" w:rsidR="001E40A1" w:rsidRDefault="001E40A1">
      <w:pPr>
        <w:rPr>
          <w:rFonts w:ascii="Calibri" w:eastAsia="Calibri" w:hAnsi="Calibri" w:cs="Calibri"/>
        </w:rPr>
      </w:pPr>
    </w:p>
    <w:p w14:paraId="00000308" w14:textId="77777777" w:rsidR="001E40A1" w:rsidRDefault="001E40A1">
      <w:pPr>
        <w:rPr>
          <w:rFonts w:ascii="Calibri" w:eastAsia="Calibri" w:hAnsi="Calibri" w:cs="Calibri"/>
        </w:rPr>
      </w:pPr>
    </w:p>
    <w:p w14:paraId="00000309" w14:textId="77777777" w:rsidR="001E40A1" w:rsidRDefault="001E40A1">
      <w:pPr>
        <w:rPr>
          <w:rFonts w:ascii="Calibri" w:eastAsia="Calibri" w:hAnsi="Calibri" w:cs="Calibri"/>
        </w:rPr>
      </w:pPr>
    </w:p>
    <w:p w14:paraId="0000030A" w14:textId="77777777" w:rsidR="001E40A1" w:rsidRDefault="001E40A1">
      <w:pPr>
        <w:rPr>
          <w:rFonts w:ascii="Calibri" w:eastAsia="Calibri" w:hAnsi="Calibri" w:cs="Calibri"/>
        </w:rPr>
      </w:pPr>
    </w:p>
    <w:p w14:paraId="0000030B" w14:textId="77777777" w:rsidR="001E40A1" w:rsidRDefault="001E40A1">
      <w:pPr>
        <w:rPr>
          <w:rFonts w:ascii="Calibri" w:eastAsia="Calibri" w:hAnsi="Calibri" w:cs="Calibri"/>
        </w:rPr>
      </w:pPr>
    </w:p>
    <w:p w14:paraId="0000030C" w14:textId="77777777" w:rsidR="001E40A1" w:rsidRDefault="001E40A1">
      <w:pPr>
        <w:rPr>
          <w:rFonts w:ascii="Calibri" w:eastAsia="Calibri" w:hAnsi="Calibri" w:cs="Calibri"/>
        </w:rPr>
      </w:pPr>
    </w:p>
    <w:p w14:paraId="0000030D" w14:textId="77777777" w:rsidR="001E40A1" w:rsidRDefault="001E40A1">
      <w:pPr>
        <w:rPr>
          <w:rFonts w:ascii="Calibri" w:eastAsia="Calibri" w:hAnsi="Calibri" w:cs="Calibri"/>
        </w:rPr>
      </w:pPr>
    </w:p>
    <w:p w14:paraId="0000030E" w14:textId="77777777" w:rsidR="001E40A1" w:rsidRDefault="001E40A1">
      <w:pPr>
        <w:rPr>
          <w:rFonts w:ascii="Calibri" w:eastAsia="Calibri" w:hAnsi="Calibri" w:cs="Calibri"/>
        </w:rPr>
      </w:pPr>
    </w:p>
    <w:p w14:paraId="0000030F" w14:textId="77777777" w:rsidR="001E40A1" w:rsidRDefault="001E40A1">
      <w:pPr>
        <w:rPr>
          <w:rFonts w:ascii="Calibri" w:eastAsia="Calibri" w:hAnsi="Calibri" w:cs="Calibri"/>
        </w:rPr>
      </w:pPr>
    </w:p>
    <w:p w14:paraId="00000310" w14:textId="77777777" w:rsidR="001E40A1" w:rsidRDefault="001E40A1">
      <w:pPr>
        <w:rPr>
          <w:rFonts w:ascii="Calibri" w:eastAsia="Calibri" w:hAnsi="Calibri" w:cs="Calibri"/>
        </w:rPr>
      </w:pPr>
    </w:p>
    <w:p w14:paraId="00000311" w14:textId="77777777" w:rsidR="001E40A1" w:rsidRDefault="001E40A1">
      <w:pPr>
        <w:rPr>
          <w:rFonts w:ascii="Calibri" w:eastAsia="Calibri" w:hAnsi="Calibri" w:cs="Calibri"/>
        </w:rPr>
      </w:pPr>
    </w:p>
    <w:p w14:paraId="00000312" w14:textId="77777777" w:rsidR="001E40A1" w:rsidRDefault="001E40A1">
      <w:pPr>
        <w:rPr>
          <w:rFonts w:ascii="Calibri" w:eastAsia="Calibri" w:hAnsi="Calibri" w:cs="Calibri"/>
        </w:rPr>
      </w:pPr>
    </w:p>
    <w:p w14:paraId="00000313" w14:textId="77777777" w:rsidR="001E40A1" w:rsidRDefault="001E40A1">
      <w:pPr>
        <w:rPr>
          <w:rFonts w:ascii="Calibri" w:eastAsia="Calibri" w:hAnsi="Calibri" w:cs="Calibri"/>
        </w:rPr>
      </w:pPr>
    </w:p>
    <w:tbl>
      <w:tblPr>
        <w:tblStyle w:val="a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7"/>
        <w:gridCol w:w="1682"/>
        <w:gridCol w:w="1559"/>
        <w:gridCol w:w="1559"/>
        <w:gridCol w:w="1559"/>
        <w:gridCol w:w="1560"/>
      </w:tblGrid>
      <w:tr w:rsidR="001E40A1" w14:paraId="07C21AA4" w14:textId="77777777">
        <w:trPr>
          <w:trHeight w:val="360"/>
        </w:trPr>
        <w:tc>
          <w:tcPr>
            <w:tcW w:w="1857" w:type="dxa"/>
            <w:shd w:val="clear" w:color="auto" w:fill="2F5496"/>
            <w:vAlign w:val="center"/>
          </w:tcPr>
          <w:p w14:paraId="00000314" w14:textId="77777777" w:rsidR="001E40A1" w:rsidRDefault="007A0446">
            <w:pPr>
              <w:pBdr>
                <w:top w:val="nil"/>
                <w:left w:val="nil"/>
                <w:bottom w:val="nil"/>
                <w:right w:val="nil"/>
                <w:between w:val="nil"/>
              </w:pBdr>
              <w:rPr>
                <w:rFonts w:ascii="Calibri" w:eastAsia="Calibri" w:hAnsi="Calibri" w:cs="Calibri"/>
                <w:b/>
                <w:color w:val="FFFFFF"/>
              </w:rPr>
            </w:pPr>
            <w:r>
              <w:rPr>
                <w:rFonts w:ascii="Calibri" w:eastAsia="Calibri" w:hAnsi="Calibri" w:cs="Calibri"/>
                <w:b/>
                <w:color w:val="FFFFFF"/>
              </w:rPr>
              <w:t>Type</w:t>
            </w:r>
          </w:p>
        </w:tc>
        <w:tc>
          <w:tcPr>
            <w:tcW w:w="1682" w:type="dxa"/>
            <w:shd w:val="clear" w:color="auto" w:fill="2F5496"/>
            <w:vAlign w:val="center"/>
          </w:tcPr>
          <w:p w14:paraId="00000315" w14:textId="77777777" w:rsidR="001E40A1" w:rsidRDefault="007A0446">
            <w:pPr>
              <w:pBdr>
                <w:top w:val="nil"/>
                <w:left w:val="nil"/>
                <w:bottom w:val="nil"/>
                <w:right w:val="nil"/>
                <w:between w:val="nil"/>
              </w:pBdr>
              <w:rPr>
                <w:rFonts w:ascii="Calibri" w:eastAsia="Calibri" w:hAnsi="Calibri" w:cs="Calibri"/>
                <w:b/>
                <w:color w:val="FFFFFF"/>
              </w:rPr>
            </w:pPr>
            <w:r>
              <w:rPr>
                <w:rFonts w:ascii="Calibri" w:eastAsia="Calibri" w:hAnsi="Calibri" w:cs="Calibri"/>
                <w:b/>
                <w:color w:val="FFFFFF"/>
              </w:rPr>
              <w:t>Size (GT)</w:t>
            </w:r>
          </w:p>
        </w:tc>
        <w:tc>
          <w:tcPr>
            <w:tcW w:w="1559" w:type="dxa"/>
            <w:shd w:val="clear" w:color="auto" w:fill="2F5496"/>
          </w:tcPr>
          <w:p w14:paraId="00000316"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2012 Median EEOI</w:t>
            </w:r>
          </w:p>
        </w:tc>
        <w:tc>
          <w:tcPr>
            <w:tcW w:w="1559" w:type="dxa"/>
            <w:shd w:val="clear" w:color="auto" w:fill="2F5496"/>
          </w:tcPr>
          <w:p w14:paraId="00000317"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2012 Median AER</w:t>
            </w:r>
          </w:p>
        </w:tc>
        <w:tc>
          <w:tcPr>
            <w:tcW w:w="1559" w:type="dxa"/>
            <w:shd w:val="clear" w:color="auto" w:fill="2F5496"/>
          </w:tcPr>
          <w:p w14:paraId="00000318"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2019 EEOI</w:t>
            </w:r>
          </w:p>
        </w:tc>
        <w:tc>
          <w:tcPr>
            <w:tcW w:w="1560" w:type="dxa"/>
            <w:shd w:val="clear" w:color="auto" w:fill="2F5496"/>
          </w:tcPr>
          <w:p w14:paraId="00000319"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2019 AER</w:t>
            </w:r>
          </w:p>
        </w:tc>
      </w:tr>
      <w:tr w:rsidR="001E40A1" w14:paraId="3C84C21F" w14:textId="77777777">
        <w:trPr>
          <w:trHeight w:val="59"/>
        </w:trPr>
        <w:tc>
          <w:tcPr>
            <w:tcW w:w="1857" w:type="dxa"/>
            <w:shd w:val="clear" w:color="auto" w:fill="auto"/>
            <w:vAlign w:val="center"/>
          </w:tcPr>
          <w:p w14:paraId="0000031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682" w:type="dxa"/>
            <w:shd w:val="clear" w:color="auto" w:fill="auto"/>
            <w:vAlign w:val="center"/>
          </w:tcPr>
          <w:p w14:paraId="0000031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0-9999</w:t>
            </w:r>
          </w:p>
        </w:tc>
        <w:tc>
          <w:tcPr>
            <w:tcW w:w="1559" w:type="dxa"/>
          </w:tcPr>
          <w:p w14:paraId="0000031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44.5</w:t>
            </w:r>
          </w:p>
        </w:tc>
        <w:tc>
          <w:tcPr>
            <w:tcW w:w="1559" w:type="dxa"/>
          </w:tcPr>
          <w:p w14:paraId="0000031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31.1</w:t>
            </w:r>
          </w:p>
        </w:tc>
        <w:tc>
          <w:tcPr>
            <w:tcW w:w="1559" w:type="dxa"/>
          </w:tcPr>
          <w:p w14:paraId="0000031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36.3</w:t>
            </w:r>
          </w:p>
        </w:tc>
        <w:tc>
          <w:tcPr>
            <w:tcW w:w="1560" w:type="dxa"/>
          </w:tcPr>
          <w:p w14:paraId="0000031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25.4</w:t>
            </w:r>
          </w:p>
        </w:tc>
      </w:tr>
      <w:tr w:rsidR="001E40A1" w14:paraId="4C17F01C" w14:textId="77777777">
        <w:trPr>
          <w:trHeight w:val="203"/>
        </w:trPr>
        <w:tc>
          <w:tcPr>
            <w:tcW w:w="1857" w:type="dxa"/>
            <w:shd w:val="clear" w:color="auto" w:fill="auto"/>
            <w:vAlign w:val="center"/>
          </w:tcPr>
          <w:p w14:paraId="0000032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682" w:type="dxa"/>
            <w:shd w:val="clear" w:color="auto" w:fill="auto"/>
            <w:vAlign w:val="center"/>
          </w:tcPr>
          <w:p w14:paraId="0000032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10000-34999</w:t>
            </w:r>
          </w:p>
        </w:tc>
        <w:tc>
          <w:tcPr>
            <w:tcW w:w="1559" w:type="dxa"/>
          </w:tcPr>
          <w:p w14:paraId="0000032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15.4</w:t>
            </w:r>
          </w:p>
        </w:tc>
        <w:tc>
          <w:tcPr>
            <w:tcW w:w="1559" w:type="dxa"/>
          </w:tcPr>
          <w:p w14:paraId="0000032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8.3</w:t>
            </w:r>
          </w:p>
        </w:tc>
        <w:tc>
          <w:tcPr>
            <w:tcW w:w="1559" w:type="dxa"/>
          </w:tcPr>
          <w:p w14:paraId="0000032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12.6</w:t>
            </w:r>
          </w:p>
        </w:tc>
        <w:tc>
          <w:tcPr>
            <w:tcW w:w="1560" w:type="dxa"/>
          </w:tcPr>
          <w:p w14:paraId="0000032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6.8</w:t>
            </w:r>
          </w:p>
        </w:tc>
      </w:tr>
      <w:tr w:rsidR="001E40A1" w14:paraId="4D633BA3" w14:textId="77777777">
        <w:trPr>
          <w:trHeight w:val="59"/>
        </w:trPr>
        <w:tc>
          <w:tcPr>
            <w:tcW w:w="1857" w:type="dxa"/>
            <w:shd w:val="clear" w:color="auto" w:fill="auto"/>
            <w:vAlign w:val="center"/>
          </w:tcPr>
          <w:p w14:paraId="0000032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682" w:type="dxa"/>
            <w:shd w:val="clear" w:color="auto" w:fill="auto"/>
            <w:vAlign w:val="center"/>
          </w:tcPr>
          <w:p w14:paraId="0000032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35000-59999</w:t>
            </w:r>
          </w:p>
        </w:tc>
        <w:tc>
          <w:tcPr>
            <w:tcW w:w="1559" w:type="dxa"/>
          </w:tcPr>
          <w:p w14:paraId="0000032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11.7</w:t>
            </w:r>
          </w:p>
        </w:tc>
        <w:tc>
          <w:tcPr>
            <w:tcW w:w="1559" w:type="dxa"/>
          </w:tcPr>
          <w:p w14:paraId="0000032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w:t>
            </w:r>
          </w:p>
        </w:tc>
        <w:tc>
          <w:tcPr>
            <w:tcW w:w="1559" w:type="dxa"/>
          </w:tcPr>
          <w:p w14:paraId="0000032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9.5</w:t>
            </w:r>
          </w:p>
        </w:tc>
        <w:tc>
          <w:tcPr>
            <w:tcW w:w="1560" w:type="dxa"/>
          </w:tcPr>
          <w:p w14:paraId="0000032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4.8</w:t>
            </w:r>
          </w:p>
        </w:tc>
      </w:tr>
      <w:tr w:rsidR="001E40A1" w14:paraId="72F3B168" w14:textId="77777777">
        <w:trPr>
          <w:trHeight w:val="59"/>
        </w:trPr>
        <w:tc>
          <w:tcPr>
            <w:tcW w:w="1857" w:type="dxa"/>
            <w:shd w:val="clear" w:color="auto" w:fill="auto"/>
            <w:vAlign w:val="center"/>
          </w:tcPr>
          <w:p w14:paraId="0000032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682" w:type="dxa"/>
            <w:shd w:val="clear" w:color="auto" w:fill="auto"/>
            <w:vAlign w:val="center"/>
          </w:tcPr>
          <w:p w14:paraId="0000032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60000-99999</w:t>
            </w:r>
          </w:p>
        </w:tc>
        <w:tc>
          <w:tcPr>
            <w:tcW w:w="1559" w:type="dxa"/>
          </w:tcPr>
          <w:p w14:paraId="0000032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10.7</w:t>
            </w:r>
          </w:p>
        </w:tc>
        <w:tc>
          <w:tcPr>
            <w:tcW w:w="1559" w:type="dxa"/>
          </w:tcPr>
          <w:p w14:paraId="0000032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4.6</w:t>
            </w:r>
          </w:p>
        </w:tc>
        <w:tc>
          <w:tcPr>
            <w:tcW w:w="1559" w:type="dxa"/>
          </w:tcPr>
          <w:p w14:paraId="0000033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8.7</w:t>
            </w:r>
          </w:p>
        </w:tc>
        <w:tc>
          <w:tcPr>
            <w:tcW w:w="1560" w:type="dxa"/>
          </w:tcPr>
          <w:p w14:paraId="0000033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3.7</w:t>
            </w:r>
          </w:p>
        </w:tc>
      </w:tr>
      <w:tr w:rsidR="001E40A1" w14:paraId="09E9D0C8" w14:textId="77777777">
        <w:trPr>
          <w:trHeight w:val="104"/>
        </w:trPr>
        <w:tc>
          <w:tcPr>
            <w:tcW w:w="1857" w:type="dxa"/>
            <w:shd w:val="clear" w:color="auto" w:fill="auto"/>
            <w:vAlign w:val="center"/>
          </w:tcPr>
          <w:p w14:paraId="0000033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682" w:type="dxa"/>
            <w:shd w:val="clear" w:color="auto" w:fill="auto"/>
            <w:vAlign w:val="center"/>
          </w:tcPr>
          <w:p w14:paraId="0000033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100000-199999</w:t>
            </w:r>
          </w:p>
        </w:tc>
        <w:tc>
          <w:tcPr>
            <w:tcW w:w="1559" w:type="dxa"/>
          </w:tcPr>
          <w:p w14:paraId="0000033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5.83</w:t>
            </w:r>
          </w:p>
        </w:tc>
        <w:tc>
          <w:tcPr>
            <w:tcW w:w="1559" w:type="dxa"/>
          </w:tcPr>
          <w:p w14:paraId="0000033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3.0</w:t>
            </w:r>
          </w:p>
        </w:tc>
        <w:tc>
          <w:tcPr>
            <w:tcW w:w="1559" w:type="dxa"/>
          </w:tcPr>
          <w:p w14:paraId="0000033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4.8</w:t>
            </w:r>
          </w:p>
        </w:tc>
        <w:tc>
          <w:tcPr>
            <w:tcW w:w="1560" w:type="dxa"/>
          </w:tcPr>
          <w:p w14:paraId="0000033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2.4</w:t>
            </w:r>
          </w:p>
        </w:tc>
      </w:tr>
      <w:tr w:rsidR="001E40A1" w14:paraId="69FB2EA5" w14:textId="77777777">
        <w:trPr>
          <w:trHeight w:val="59"/>
        </w:trPr>
        <w:tc>
          <w:tcPr>
            <w:tcW w:w="1857" w:type="dxa"/>
            <w:shd w:val="clear" w:color="auto" w:fill="auto"/>
            <w:vAlign w:val="center"/>
          </w:tcPr>
          <w:p w14:paraId="0000033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682" w:type="dxa"/>
            <w:shd w:val="clear" w:color="auto" w:fill="auto"/>
            <w:vAlign w:val="center"/>
          </w:tcPr>
          <w:p w14:paraId="0000033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200000-+</w:t>
            </w:r>
          </w:p>
        </w:tc>
        <w:tc>
          <w:tcPr>
            <w:tcW w:w="1559" w:type="dxa"/>
          </w:tcPr>
          <w:p w14:paraId="0000033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5.13</w:t>
            </w:r>
          </w:p>
        </w:tc>
        <w:tc>
          <w:tcPr>
            <w:tcW w:w="1559" w:type="dxa"/>
          </w:tcPr>
          <w:p w14:paraId="0000033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2.9</w:t>
            </w:r>
          </w:p>
        </w:tc>
        <w:tc>
          <w:tcPr>
            <w:tcW w:w="1559" w:type="dxa"/>
          </w:tcPr>
          <w:p w14:paraId="0000033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4.2</w:t>
            </w:r>
          </w:p>
        </w:tc>
        <w:tc>
          <w:tcPr>
            <w:tcW w:w="1560" w:type="dxa"/>
          </w:tcPr>
          <w:p w14:paraId="0000033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2.3</w:t>
            </w:r>
          </w:p>
        </w:tc>
      </w:tr>
      <w:tr w:rsidR="001E40A1" w14:paraId="64394D4D" w14:textId="77777777">
        <w:trPr>
          <w:trHeight w:val="59"/>
        </w:trPr>
        <w:tc>
          <w:tcPr>
            <w:tcW w:w="1857" w:type="dxa"/>
            <w:shd w:val="clear" w:color="auto" w:fill="auto"/>
            <w:vAlign w:val="center"/>
          </w:tcPr>
          <w:p w14:paraId="0000033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682" w:type="dxa"/>
            <w:shd w:val="clear" w:color="auto" w:fill="auto"/>
            <w:vAlign w:val="center"/>
          </w:tcPr>
          <w:p w14:paraId="0000033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0-4999</w:t>
            </w:r>
          </w:p>
        </w:tc>
        <w:tc>
          <w:tcPr>
            <w:tcW w:w="1559" w:type="dxa"/>
          </w:tcPr>
          <w:p w14:paraId="0000034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51</w:t>
            </w:r>
          </w:p>
        </w:tc>
        <w:tc>
          <w:tcPr>
            <w:tcW w:w="1559" w:type="dxa"/>
          </w:tcPr>
          <w:p w14:paraId="0000034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44.9</w:t>
            </w:r>
          </w:p>
        </w:tc>
        <w:tc>
          <w:tcPr>
            <w:tcW w:w="1559" w:type="dxa"/>
          </w:tcPr>
          <w:p w14:paraId="0000034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41.6</w:t>
            </w:r>
          </w:p>
        </w:tc>
        <w:tc>
          <w:tcPr>
            <w:tcW w:w="1560" w:type="dxa"/>
          </w:tcPr>
          <w:p w14:paraId="0000034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36.6</w:t>
            </w:r>
          </w:p>
        </w:tc>
      </w:tr>
      <w:tr w:rsidR="001E40A1" w14:paraId="05576941" w14:textId="77777777">
        <w:trPr>
          <w:trHeight w:val="59"/>
        </w:trPr>
        <w:tc>
          <w:tcPr>
            <w:tcW w:w="1857" w:type="dxa"/>
            <w:shd w:val="clear" w:color="auto" w:fill="auto"/>
            <w:vAlign w:val="center"/>
          </w:tcPr>
          <w:p w14:paraId="0000034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682" w:type="dxa"/>
            <w:shd w:val="clear" w:color="auto" w:fill="auto"/>
            <w:vAlign w:val="center"/>
          </w:tcPr>
          <w:p w14:paraId="0000034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5000-9999</w:t>
            </w:r>
          </w:p>
        </w:tc>
        <w:tc>
          <w:tcPr>
            <w:tcW w:w="1559" w:type="dxa"/>
          </w:tcPr>
          <w:p w14:paraId="0000034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33.7</w:t>
            </w:r>
          </w:p>
        </w:tc>
        <w:tc>
          <w:tcPr>
            <w:tcW w:w="1559" w:type="dxa"/>
          </w:tcPr>
          <w:p w14:paraId="0000034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24.1</w:t>
            </w:r>
          </w:p>
        </w:tc>
        <w:tc>
          <w:tcPr>
            <w:tcW w:w="1559" w:type="dxa"/>
          </w:tcPr>
          <w:p w14:paraId="0000034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27.5</w:t>
            </w:r>
          </w:p>
        </w:tc>
        <w:tc>
          <w:tcPr>
            <w:tcW w:w="1560" w:type="dxa"/>
          </w:tcPr>
          <w:p w14:paraId="0000034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19.7</w:t>
            </w:r>
          </w:p>
        </w:tc>
      </w:tr>
      <w:tr w:rsidR="001E40A1" w14:paraId="056D93C5" w14:textId="77777777">
        <w:trPr>
          <w:trHeight w:val="59"/>
        </w:trPr>
        <w:tc>
          <w:tcPr>
            <w:tcW w:w="1857" w:type="dxa"/>
            <w:shd w:val="clear" w:color="auto" w:fill="auto"/>
            <w:vAlign w:val="center"/>
          </w:tcPr>
          <w:p w14:paraId="0000034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682" w:type="dxa"/>
            <w:shd w:val="clear" w:color="auto" w:fill="auto"/>
            <w:vAlign w:val="center"/>
          </w:tcPr>
          <w:p w14:paraId="0000034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10000-19999</w:t>
            </w:r>
          </w:p>
        </w:tc>
        <w:tc>
          <w:tcPr>
            <w:tcW w:w="1559" w:type="dxa"/>
          </w:tcPr>
          <w:p w14:paraId="0000034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23.7</w:t>
            </w:r>
          </w:p>
        </w:tc>
        <w:tc>
          <w:tcPr>
            <w:tcW w:w="1559" w:type="dxa"/>
          </w:tcPr>
          <w:p w14:paraId="0000034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15.1</w:t>
            </w:r>
          </w:p>
        </w:tc>
        <w:tc>
          <w:tcPr>
            <w:tcW w:w="1559" w:type="dxa"/>
          </w:tcPr>
          <w:p w14:paraId="0000034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19.3</w:t>
            </w:r>
          </w:p>
        </w:tc>
        <w:tc>
          <w:tcPr>
            <w:tcW w:w="1560" w:type="dxa"/>
          </w:tcPr>
          <w:p w14:paraId="0000034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12.3</w:t>
            </w:r>
          </w:p>
        </w:tc>
      </w:tr>
      <w:tr w:rsidR="001E40A1" w14:paraId="57CAA609" w14:textId="77777777">
        <w:trPr>
          <w:trHeight w:val="59"/>
        </w:trPr>
        <w:tc>
          <w:tcPr>
            <w:tcW w:w="1857" w:type="dxa"/>
            <w:shd w:val="clear" w:color="auto" w:fill="auto"/>
            <w:vAlign w:val="center"/>
          </w:tcPr>
          <w:p w14:paraId="0000035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682" w:type="dxa"/>
            <w:shd w:val="clear" w:color="auto" w:fill="auto"/>
            <w:vAlign w:val="center"/>
          </w:tcPr>
          <w:p w14:paraId="0000035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20000-+</w:t>
            </w:r>
          </w:p>
        </w:tc>
        <w:tc>
          <w:tcPr>
            <w:tcW w:w="1559" w:type="dxa"/>
          </w:tcPr>
          <w:p w14:paraId="0000035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15.6</w:t>
            </w:r>
          </w:p>
        </w:tc>
        <w:tc>
          <w:tcPr>
            <w:tcW w:w="1559" w:type="dxa"/>
          </w:tcPr>
          <w:p w14:paraId="0000035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8.2</w:t>
            </w:r>
          </w:p>
        </w:tc>
        <w:tc>
          <w:tcPr>
            <w:tcW w:w="1559" w:type="dxa"/>
          </w:tcPr>
          <w:p w14:paraId="0000035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12.7</w:t>
            </w:r>
          </w:p>
        </w:tc>
        <w:tc>
          <w:tcPr>
            <w:tcW w:w="1560" w:type="dxa"/>
          </w:tcPr>
          <w:p w14:paraId="0000035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6.7</w:t>
            </w:r>
          </w:p>
        </w:tc>
      </w:tr>
      <w:tr w:rsidR="001E40A1" w14:paraId="14508D53" w14:textId="77777777">
        <w:trPr>
          <w:trHeight w:val="59"/>
        </w:trPr>
        <w:tc>
          <w:tcPr>
            <w:tcW w:w="1857" w:type="dxa"/>
            <w:shd w:val="clear" w:color="auto" w:fill="auto"/>
            <w:vAlign w:val="center"/>
          </w:tcPr>
          <w:p w14:paraId="0000035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5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0-999</w:t>
            </w:r>
          </w:p>
        </w:tc>
        <w:tc>
          <w:tcPr>
            <w:tcW w:w="1559" w:type="dxa"/>
          </w:tcPr>
          <w:p w14:paraId="0000035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34.6</w:t>
            </w:r>
          </w:p>
        </w:tc>
        <w:tc>
          <w:tcPr>
            <w:tcW w:w="1559" w:type="dxa"/>
          </w:tcPr>
          <w:p w14:paraId="0000035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21.4</w:t>
            </w:r>
          </w:p>
        </w:tc>
        <w:tc>
          <w:tcPr>
            <w:tcW w:w="1559" w:type="dxa"/>
          </w:tcPr>
          <w:p w14:paraId="0000035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28.2</w:t>
            </w:r>
          </w:p>
        </w:tc>
        <w:tc>
          <w:tcPr>
            <w:tcW w:w="1560" w:type="dxa"/>
          </w:tcPr>
          <w:p w14:paraId="0000035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17.5</w:t>
            </w:r>
          </w:p>
        </w:tc>
      </w:tr>
      <w:tr w:rsidR="001E40A1" w14:paraId="714A6BC3" w14:textId="77777777">
        <w:trPr>
          <w:trHeight w:val="59"/>
        </w:trPr>
        <w:tc>
          <w:tcPr>
            <w:tcW w:w="1857" w:type="dxa"/>
            <w:shd w:val="clear" w:color="auto" w:fill="auto"/>
            <w:vAlign w:val="center"/>
          </w:tcPr>
          <w:p w14:paraId="0000035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5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1000-1999</w:t>
            </w:r>
          </w:p>
        </w:tc>
        <w:tc>
          <w:tcPr>
            <w:tcW w:w="1559" w:type="dxa"/>
          </w:tcPr>
          <w:p w14:paraId="0000035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31.6</w:t>
            </w:r>
          </w:p>
        </w:tc>
        <w:tc>
          <w:tcPr>
            <w:tcW w:w="1559" w:type="dxa"/>
          </w:tcPr>
          <w:p w14:paraId="0000035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18.8</w:t>
            </w:r>
          </w:p>
        </w:tc>
        <w:tc>
          <w:tcPr>
            <w:tcW w:w="1559" w:type="dxa"/>
          </w:tcPr>
          <w:p w14:paraId="0000036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25.8</w:t>
            </w:r>
          </w:p>
        </w:tc>
        <w:tc>
          <w:tcPr>
            <w:tcW w:w="1560" w:type="dxa"/>
          </w:tcPr>
          <w:p w14:paraId="0000036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15.3</w:t>
            </w:r>
          </w:p>
        </w:tc>
      </w:tr>
      <w:tr w:rsidR="001E40A1" w14:paraId="4F150409" w14:textId="77777777">
        <w:trPr>
          <w:trHeight w:val="59"/>
        </w:trPr>
        <w:tc>
          <w:tcPr>
            <w:tcW w:w="1857" w:type="dxa"/>
            <w:shd w:val="clear" w:color="auto" w:fill="auto"/>
            <w:vAlign w:val="center"/>
          </w:tcPr>
          <w:p w14:paraId="0000036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6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2000-2999</w:t>
            </w:r>
          </w:p>
        </w:tc>
        <w:tc>
          <w:tcPr>
            <w:tcW w:w="1559" w:type="dxa"/>
          </w:tcPr>
          <w:p w14:paraId="0000036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24.70</w:t>
            </w:r>
          </w:p>
        </w:tc>
        <w:tc>
          <w:tcPr>
            <w:tcW w:w="1559" w:type="dxa"/>
          </w:tcPr>
          <w:p w14:paraId="0000036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12.65</w:t>
            </w:r>
          </w:p>
        </w:tc>
        <w:tc>
          <w:tcPr>
            <w:tcW w:w="1559" w:type="dxa"/>
          </w:tcPr>
          <w:p w14:paraId="0000036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20.2</w:t>
            </w:r>
          </w:p>
        </w:tc>
        <w:tc>
          <w:tcPr>
            <w:tcW w:w="1560" w:type="dxa"/>
          </w:tcPr>
          <w:p w14:paraId="0000036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10.3</w:t>
            </w:r>
          </w:p>
        </w:tc>
      </w:tr>
      <w:tr w:rsidR="001E40A1" w14:paraId="7448B232" w14:textId="77777777">
        <w:trPr>
          <w:trHeight w:val="91"/>
        </w:trPr>
        <w:tc>
          <w:tcPr>
            <w:tcW w:w="1857" w:type="dxa"/>
            <w:shd w:val="clear" w:color="auto" w:fill="auto"/>
            <w:vAlign w:val="center"/>
          </w:tcPr>
          <w:p w14:paraId="0000036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6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3000-4999</w:t>
            </w:r>
          </w:p>
        </w:tc>
        <w:tc>
          <w:tcPr>
            <w:tcW w:w="1559" w:type="dxa"/>
          </w:tcPr>
          <w:p w14:paraId="0000036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21.30</w:t>
            </w:r>
          </w:p>
        </w:tc>
        <w:tc>
          <w:tcPr>
            <w:tcW w:w="1559" w:type="dxa"/>
          </w:tcPr>
          <w:p w14:paraId="0000036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10.52</w:t>
            </w:r>
          </w:p>
        </w:tc>
        <w:tc>
          <w:tcPr>
            <w:tcW w:w="1559" w:type="dxa"/>
          </w:tcPr>
          <w:p w14:paraId="0000036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17.4</w:t>
            </w:r>
          </w:p>
        </w:tc>
        <w:tc>
          <w:tcPr>
            <w:tcW w:w="1560" w:type="dxa"/>
          </w:tcPr>
          <w:p w14:paraId="0000036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8.6</w:t>
            </w:r>
          </w:p>
        </w:tc>
      </w:tr>
      <w:tr w:rsidR="001E40A1" w14:paraId="23E91BB5" w14:textId="77777777">
        <w:trPr>
          <w:trHeight w:val="140"/>
        </w:trPr>
        <w:tc>
          <w:tcPr>
            <w:tcW w:w="1857" w:type="dxa"/>
            <w:shd w:val="clear" w:color="auto" w:fill="auto"/>
            <w:vAlign w:val="center"/>
          </w:tcPr>
          <w:p w14:paraId="0000036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6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5000-7999</w:t>
            </w:r>
          </w:p>
        </w:tc>
        <w:tc>
          <w:tcPr>
            <w:tcW w:w="1559" w:type="dxa"/>
          </w:tcPr>
          <w:p w14:paraId="0000037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20.50</w:t>
            </w:r>
          </w:p>
        </w:tc>
        <w:tc>
          <w:tcPr>
            <w:tcW w:w="1559" w:type="dxa"/>
          </w:tcPr>
          <w:p w14:paraId="0000037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9.94</w:t>
            </w:r>
          </w:p>
        </w:tc>
        <w:tc>
          <w:tcPr>
            <w:tcW w:w="1559" w:type="dxa"/>
          </w:tcPr>
          <w:p w14:paraId="0000037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16.7</w:t>
            </w:r>
          </w:p>
        </w:tc>
        <w:tc>
          <w:tcPr>
            <w:tcW w:w="1560" w:type="dxa"/>
          </w:tcPr>
          <w:p w14:paraId="0000037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8.1</w:t>
            </w:r>
          </w:p>
        </w:tc>
      </w:tr>
      <w:tr w:rsidR="001E40A1" w14:paraId="40D8A5D4" w14:textId="77777777">
        <w:trPr>
          <w:trHeight w:val="59"/>
        </w:trPr>
        <w:tc>
          <w:tcPr>
            <w:tcW w:w="1857" w:type="dxa"/>
            <w:shd w:val="clear" w:color="auto" w:fill="auto"/>
            <w:vAlign w:val="center"/>
          </w:tcPr>
          <w:p w14:paraId="0000037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7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8000-11999</w:t>
            </w:r>
          </w:p>
        </w:tc>
        <w:tc>
          <w:tcPr>
            <w:tcW w:w="1559" w:type="dxa"/>
          </w:tcPr>
          <w:p w14:paraId="0000037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17.90</w:t>
            </w:r>
          </w:p>
        </w:tc>
        <w:tc>
          <w:tcPr>
            <w:tcW w:w="1559" w:type="dxa"/>
          </w:tcPr>
          <w:p w14:paraId="0000037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8.47</w:t>
            </w:r>
          </w:p>
        </w:tc>
        <w:tc>
          <w:tcPr>
            <w:tcW w:w="1559" w:type="dxa"/>
          </w:tcPr>
          <w:p w14:paraId="0000037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14.6</w:t>
            </w:r>
          </w:p>
        </w:tc>
        <w:tc>
          <w:tcPr>
            <w:tcW w:w="1560" w:type="dxa"/>
          </w:tcPr>
          <w:p w14:paraId="0000037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6.9</w:t>
            </w:r>
          </w:p>
        </w:tc>
      </w:tr>
      <w:tr w:rsidR="001E40A1" w14:paraId="525E7CE6" w14:textId="77777777">
        <w:trPr>
          <w:trHeight w:val="59"/>
        </w:trPr>
        <w:tc>
          <w:tcPr>
            <w:tcW w:w="1857" w:type="dxa"/>
            <w:shd w:val="clear" w:color="auto" w:fill="auto"/>
            <w:vAlign w:val="center"/>
          </w:tcPr>
          <w:p w14:paraId="0000037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7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12000-14500</w:t>
            </w:r>
          </w:p>
        </w:tc>
        <w:tc>
          <w:tcPr>
            <w:tcW w:w="1559" w:type="dxa"/>
          </w:tcPr>
          <w:p w14:paraId="0000037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13.20</w:t>
            </w:r>
          </w:p>
        </w:tc>
        <w:tc>
          <w:tcPr>
            <w:tcW w:w="1559" w:type="dxa"/>
          </w:tcPr>
          <w:p w14:paraId="0000037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5.87</w:t>
            </w:r>
          </w:p>
        </w:tc>
        <w:tc>
          <w:tcPr>
            <w:tcW w:w="1559" w:type="dxa"/>
          </w:tcPr>
          <w:p w14:paraId="0000037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10.8</w:t>
            </w:r>
          </w:p>
        </w:tc>
        <w:tc>
          <w:tcPr>
            <w:tcW w:w="1560" w:type="dxa"/>
          </w:tcPr>
          <w:p w14:paraId="0000037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4.8</w:t>
            </w:r>
          </w:p>
        </w:tc>
      </w:tr>
      <w:tr w:rsidR="001E40A1" w14:paraId="0DEA56F4" w14:textId="77777777">
        <w:trPr>
          <w:trHeight w:val="104"/>
        </w:trPr>
        <w:tc>
          <w:tcPr>
            <w:tcW w:w="1857" w:type="dxa"/>
            <w:shd w:val="clear" w:color="auto" w:fill="auto"/>
            <w:vAlign w:val="center"/>
          </w:tcPr>
          <w:p w14:paraId="0000038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682" w:type="dxa"/>
            <w:shd w:val="clear" w:color="auto" w:fill="auto"/>
            <w:vAlign w:val="center"/>
          </w:tcPr>
          <w:p w14:paraId="0000038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14500-+</w:t>
            </w:r>
          </w:p>
        </w:tc>
        <w:tc>
          <w:tcPr>
            <w:tcW w:w="1559" w:type="dxa"/>
          </w:tcPr>
          <w:p w14:paraId="0000038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13.20</w:t>
            </w:r>
          </w:p>
        </w:tc>
        <w:tc>
          <w:tcPr>
            <w:tcW w:w="1559" w:type="dxa"/>
          </w:tcPr>
          <w:p w14:paraId="0000038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5.87</w:t>
            </w:r>
          </w:p>
        </w:tc>
        <w:tc>
          <w:tcPr>
            <w:tcW w:w="1559" w:type="dxa"/>
          </w:tcPr>
          <w:p w14:paraId="0000038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10.8</w:t>
            </w:r>
          </w:p>
        </w:tc>
        <w:tc>
          <w:tcPr>
            <w:tcW w:w="1560" w:type="dxa"/>
          </w:tcPr>
          <w:p w14:paraId="0000038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4.8</w:t>
            </w:r>
          </w:p>
        </w:tc>
      </w:tr>
      <w:tr w:rsidR="001E40A1" w14:paraId="7216887C" w14:textId="77777777">
        <w:trPr>
          <w:trHeight w:val="59"/>
        </w:trPr>
        <w:tc>
          <w:tcPr>
            <w:tcW w:w="1857" w:type="dxa"/>
            <w:shd w:val="clear" w:color="auto" w:fill="auto"/>
            <w:vAlign w:val="center"/>
          </w:tcPr>
          <w:p w14:paraId="0000038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cargo</w:t>
            </w:r>
          </w:p>
        </w:tc>
        <w:tc>
          <w:tcPr>
            <w:tcW w:w="1682" w:type="dxa"/>
            <w:shd w:val="clear" w:color="auto" w:fill="auto"/>
            <w:vAlign w:val="center"/>
          </w:tcPr>
          <w:p w14:paraId="0000038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0-4999</w:t>
            </w:r>
          </w:p>
        </w:tc>
        <w:tc>
          <w:tcPr>
            <w:tcW w:w="1559" w:type="dxa"/>
          </w:tcPr>
          <w:p w14:paraId="0000038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38.20</w:t>
            </w:r>
          </w:p>
        </w:tc>
        <w:tc>
          <w:tcPr>
            <w:tcW w:w="1559" w:type="dxa"/>
          </w:tcPr>
          <w:p w14:paraId="0000038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30.65</w:t>
            </w:r>
          </w:p>
        </w:tc>
        <w:tc>
          <w:tcPr>
            <w:tcW w:w="1559" w:type="dxa"/>
          </w:tcPr>
          <w:p w14:paraId="0000038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31.2</w:t>
            </w:r>
          </w:p>
        </w:tc>
        <w:tc>
          <w:tcPr>
            <w:tcW w:w="1560" w:type="dxa"/>
          </w:tcPr>
          <w:p w14:paraId="0000038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25.0</w:t>
            </w:r>
          </w:p>
        </w:tc>
      </w:tr>
      <w:tr w:rsidR="001E40A1" w14:paraId="657EDF93" w14:textId="77777777">
        <w:trPr>
          <w:trHeight w:val="59"/>
        </w:trPr>
        <w:tc>
          <w:tcPr>
            <w:tcW w:w="1857" w:type="dxa"/>
            <w:shd w:val="clear" w:color="auto" w:fill="auto"/>
            <w:vAlign w:val="center"/>
          </w:tcPr>
          <w:p w14:paraId="0000038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cargo</w:t>
            </w:r>
          </w:p>
        </w:tc>
        <w:tc>
          <w:tcPr>
            <w:tcW w:w="1682" w:type="dxa"/>
            <w:shd w:val="clear" w:color="auto" w:fill="auto"/>
            <w:vAlign w:val="center"/>
          </w:tcPr>
          <w:p w14:paraId="0000038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5000-9999</w:t>
            </w:r>
          </w:p>
        </w:tc>
        <w:tc>
          <w:tcPr>
            <w:tcW w:w="1559" w:type="dxa"/>
          </w:tcPr>
          <w:p w14:paraId="0000038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34.50</w:t>
            </w:r>
          </w:p>
        </w:tc>
        <w:tc>
          <w:tcPr>
            <w:tcW w:w="1559" w:type="dxa"/>
          </w:tcPr>
          <w:p w14:paraId="0000038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21.15</w:t>
            </w:r>
          </w:p>
        </w:tc>
        <w:tc>
          <w:tcPr>
            <w:tcW w:w="1559" w:type="dxa"/>
          </w:tcPr>
          <w:p w14:paraId="0000039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28.1</w:t>
            </w:r>
          </w:p>
        </w:tc>
        <w:tc>
          <w:tcPr>
            <w:tcW w:w="1560" w:type="dxa"/>
          </w:tcPr>
          <w:p w14:paraId="0000039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17.3</w:t>
            </w:r>
          </w:p>
        </w:tc>
      </w:tr>
      <w:tr w:rsidR="001E40A1" w14:paraId="4F540536" w14:textId="77777777">
        <w:trPr>
          <w:trHeight w:val="59"/>
        </w:trPr>
        <w:tc>
          <w:tcPr>
            <w:tcW w:w="1857" w:type="dxa"/>
            <w:shd w:val="clear" w:color="auto" w:fill="auto"/>
            <w:vAlign w:val="center"/>
          </w:tcPr>
          <w:p w14:paraId="0000039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cargo</w:t>
            </w:r>
          </w:p>
        </w:tc>
        <w:tc>
          <w:tcPr>
            <w:tcW w:w="1682" w:type="dxa"/>
            <w:shd w:val="clear" w:color="auto" w:fill="auto"/>
            <w:vAlign w:val="center"/>
          </w:tcPr>
          <w:p w14:paraId="0000039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w:t>
            </w:r>
          </w:p>
        </w:tc>
        <w:tc>
          <w:tcPr>
            <w:tcW w:w="1559" w:type="dxa"/>
          </w:tcPr>
          <w:p w14:paraId="0000039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30.70</w:t>
            </w:r>
          </w:p>
        </w:tc>
        <w:tc>
          <w:tcPr>
            <w:tcW w:w="1559" w:type="dxa"/>
          </w:tcPr>
          <w:p w14:paraId="0000039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16.65</w:t>
            </w:r>
          </w:p>
        </w:tc>
        <w:tc>
          <w:tcPr>
            <w:tcW w:w="1559" w:type="dxa"/>
          </w:tcPr>
          <w:p w14:paraId="0000039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25.0</w:t>
            </w:r>
          </w:p>
        </w:tc>
        <w:tc>
          <w:tcPr>
            <w:tcW w:w="1560" w:type="dxa"/>
          </w:tcPr>
          <w:p w14:paraId="0000039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13.6</w:t>
            </w:r>
          </w:p>
        </w:tc>
      </w:tr>
      <w:tr w:rsidR="001E40A1" w14:paraId="6558B74A" w14:textId="77777777">
        <w:trPr>
          <w:trHeight w:val="59"/>
        </w:trPr>
        <w:tc>
          <w:tcPr>
            <w:tcW w:w="1857" w:type="dxa"/>
            <w:shd w:val="clear" w:color="auto" w:fill="auto"/>
            <w:vAlign w:val="center"/>
          </w:tcPr>
          <w:p w14:paraId="0000039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 liquid tanker</w:t>
            </w:r>
          </w:p>
        </w:tc>
        <w:tc>
          <w:tcPr>
            <w:tcW w:w="1682" w:type="dxa"/>
            <w:shd w:val="clear" w:color="auto" w:fill="auto"/>
            <w:vAlign w:val="center"/>
          </w:tcPr>
          <w:p w14:paraId="0000039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w:t>
            </w:r>
          </w:p>
        </w:tc>
        <w:tc>
          <w:tcPr>
            <w:tcW w:w="1559" w:type="dxa"/>
          </w:tcPr>
          <w:p w14:paraId="0000039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135.00</w:t>
            </w:r>
          </w:p>
        </w:tc>
        <w:tc>
          <w:tcPr>
            <w:tcW w:w="1559" w:type="dxa"/>
          </w:tcPr>
          <w:p w14:paraId="0000039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123.66</w:t>
            </w:r>
          </w:p>
        </w:tc>
        <w:tc>
          <w:tcPr>
            <w:tcW w:w="1559" w:type="dxa"/>
          </w:tcPr>
          <w:p w14:paraId="0000039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110.1</w:t>
            </w:r>
          </w:p>
        </w:tc>
        <w:tc>
          <w:tcPr>
            <w:tcW w:w="1560" w:type="dxa"/>
          </w:tcPr>
          <w:p w14:paraId="0000039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100.9</w:t>
            </w:r>
          </w:p>
        </w:tc>
      </w:tr>
      <w:tr w:rsidR="001E40A1" w14:paraId="177C8773" w14:textId="77777777">
        <w:trPr>
          <w:trHeight w:val="59"/>
        </w:trPr>
        <w:tc>
          <w:tcPr>
            <w:tcW w:w="1857" w:type="dxa"/>
            <w:shd w:val="clear" w:color="auto" w:fill="FCE4D6"/>
            <w:vAlign w:val="center"/>
          </w:tcPr>
          <w:p w14:paraId="0000039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Ferry-pax only*</w:t>
            </w:r>
          </w:p>
        </w:tc>
        <w:tc>
          <w:tcPr>
            <w:tcW w:w="1682" w:type="dxa"/>
            <w:shd w:val="clear" w:color="auto" w:fill="auto"/>
            <w:vAlign w:val="center"/>
          </w:tcPr>
          <w:p w14:paraId="0000039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559" w:type="dxa"/>
          </w:tcPr>
          <w:p w14:paraId="000003A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1611372.0</w:t>
            </w:r>
          </w:p>
        </w:tc>
        <w:tc>
          <w:tcPr>
            <w:tcW w:w="1559" w:type="dxa"/>
          </w:tcPr>
          <w:p w14:paraId="000003A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1611372.0</w:t>
            </w:r>
          </w:p>
        </w:tc>
        <w:tc>
          <w:tcPr>
            <w:tcW w:w="1559" w:type="dxa"/>
          </w:tcPr>
          <w:p w14:paraId="000003A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1314540.3</w:t>
            </w:r>
          </w:p>
        </w:tc>
        <w:tc>
          <w:tcPr>
            <w:tcW w:w="1560" w:type="dxa"/>
          </w:tcPr>
          <w:p w14:paraId="000003A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1314540.3</w:t>
            </w:r>
          </w:p>
        </w:tc>
      </w:tr>
      <w:tr w:rsidR="001E40A1" w14:paraId="1F64FA08" w14:textId="77777777">
        <w:trPr>
          <w:trHeight w:val="59"/>
        </w:trPr>
        <w:tc>
          <w:tcPr>
            <w:tcW w:w="1857" w:type="dxa"/>
            <w:shd w:val="clear" w:color="auto" w:fill="FCE4D6"/>
            <w:vAlign w:val="center"/>
          </w:tcPr>
          <w:p w14:paraId="000003A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Ferry-pax only*</w:t>
            </w:r>
          </w:p>
        </w:tc>
        <w:tc>
          <w:tcPr>
            <w:tcW w:w="1682" w:type="dxa"/>
            <w:shd w:val="clear" w:color="auto" w:fill="auto"/>
            <w:vAlign w:val="center"/>
          </w:tcPr>
          <w:p w14:paraId="000003A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w:t>
            </w:r>
          </w:p>
        </w:tc>
        <w:tc>
          <w:tcPr>
            <w:tcW w:w="1559" w:type="dxa"/>
          </w:tcPr>
          <w:p w14:paraId="000003A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2204768.4</w:t>
            </w:r>
          </w:p>
        </w:tc>
        <w:tc>
          <w:tcPr>
            <w:tcW w:w="1559" w:type="dxa"/>
          </w:tcPr>
          <w:p w14:paraId="000003A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2204768.4</w:t>
            </w:r>
          </w:p>
        </w:tc>
        <w:tc>
          <w:tcPr>
            <w:tcW w:w="1559" w:type="dxa"/>
          </w:tcPr>
          <w:p w14:paraId="000003A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1798626.9</w:t>
            </w:r>
          </w:p>
        </w:tc>
        <w:tc>
          <w:tcPr>
            <w:tcW w:w="1560" w:type="dxa"/>
          </w:tcPr>
          <w:p w14:paraId="000003A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1798626.9</w:t>
            </w:r>
          </w:p>
        </w:tc>
      </w:tr>
      <w:tr w:rsidR="001E40A1" w14:paraId="7FD8C1AB" w14:textId="77777777">
        <w:trPr>
          <w:trHeight w:val="59"/>
        </w:trPr>
        <w:tc>
          <w:tcPr>
            <w:tcW w:w="1857" w:type="dxa"/>
            <w:shd w:val="clear" w:color="auto" w:fill="FCE4D6"/>
            <w:vAlign w:val="center"/>
          </w:tcPr>
          <w:p w14:paraId="000003A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682" w:type="dxa"/>
            <w:shd w:val="clear" w:color="auto" w:fill="auto"/>
            <w:vAlign w:val="center"/>
          </w:tcPr>
          <w:p w14:paraId="000003A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559" w:type="dxa"/>
          </w:tcPr>
          <w:p w14:paraId="000003A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2589577.6</w:t>
            </w:r>
          </w:p>
        </w:tc>
        <w:tc>
          <w:tcPr>
            <w:tcW w:w="1559" w:type="dxa"/>
          </w:tcPr>
          <w:p w14:paraId="000003A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2589577.6</w:t>
            </w:r>
          </w:p>
        </w:tc>
        <w:tc>
          <w:tcPr>
            <w:tcW w:w="1559" w:type="dxa"/>
          </w:tcPr>
          <w:p w14:paraId="000003A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2112550.2</w:t>
            </w:r>
          </w:p>
        </w:tc>
        <w:tc>
          <w:tcPr>
            <w:tcW w:w="1560" w:type="dxa"/>
          </w:tcPr>
          <w:p w14:paraId="000003A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2112550.2</w:t>
            </w:r>
          </w:p>
        </w:tc>
      </w:tr>
      <w:tr w:rsidR="001E40A1" w14:paraId="398AC93D" w14:textId="77777777">
        <w:trPr>
          <w:trHeight w:val="59"/>
        </w:trPr>
        <w:tc>
          <w:tcPr>
            <w:tcW w:w="1857" w:type="dxa"/>
            <w:shd w:val="clear" w:color="auto" w:fill="FCE4D6"/>
            <w:vAlign w:val="center"/>
          </w:tcPr>
          <w:p w14:paraId="000003B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682" w:type="dxa"/>
            <w:shd w:val="clear" w:color="auto" w:fill="auto"/>
            <w:vAlign w:val="center"/>
          </w:tcPr>
          <w:p w14:paraId="000003B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2000-9999</w:t>
            </w:r>
          </w:p>
        </w:tc>
        <w:tc>
          <w:tcPr>
            <w:tcW w:w="1559" w:type="dxa"/>
          </w:tcPr>
          <w:p w14:paraId="000003B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1629745.6</w:t>
            </w:r>
          </w:p>
        </w:tc>
        <w:tc>
          <w:tcPr>
            <w:tcW w:w="1559" w:type="dxa"/>
          </w:tcPr>
          <w:p w14:paraId="000003B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1629745.6</w:t>
            </w:r>
          </w:p>
        </w:tc>
        <w:tc>
          <w:tcPr>
            <w:tcW w:w="1559" w:type="dxa"/>
          </w:tcPr>
          <w:p w14:paraId="000003B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1329529.3</w:t>
            </w:r>
          </w:p>
        </w:tc>
        <w:tc>
          <w:tcPr>
            <w:tcW w:w="1560" w:type="dxa"/>
          </w:tcPr>
          <w:p w14:paraId="000003B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1329529.3</w:t>
            </w:r>
          </w:p>
        </w:tc>
      </w:tr>
      <w:tr w:rsidR="001E40A1" w14:paraId="1C56F66A" w14:textId="77777777">
        <w:trPr>
          <w:trHeight w:val="59"/>
        </w:trPr>
        <w:tc>
          <w:tcPr>
            <w:tcW w:w="1857" w:type="dxa"/>
            <w:shd w:val="clear" w:color="auto" w:fill="FCE4D6"/>
            <w:vAlign w:val="center"/>
          </w:tcPr>
          <w:p w14:paraId="000003B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682" w:type="dxa"/>
            <w:shd w:val="clear" w:color="auto" w:fill="auto"/>
            <w:vAlign w:val="center"/>
          </w:tcPr>
          <w:p w14:paraId="000003B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10000-59999</w:t>
            </w:r>
          </w:p>
        </w:tc>
        <w:tc>
          <w:tcPr>
            <w:tcW w:w="1559" w:type="dxa"/>
          </w:tcPr>
          <w:p w14:paraId="000003B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1893748.6</w:t>
            </w:r>
          </w:p>
        </w:tc>
        <w:tc>
          <w:tcPr>
            <w:tcW w:w="1559" w:type="dxa"/>
          </w:tcPr>
          <w:p w14:paraId="000003B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1893748.6</w:t>
            </w:r>
          </w:p>
        </w:tc>
        <w:tc>
          <w:tcPr>
            <w:tcW w:w="1559" w:type="dxa"/>
          </w:tcPr>
          <w:p w14:paraId="000003B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1544900.2</w:t>
            </w:r>
          </w:p>
        </w:tc>
        <w:tc>
          <w:tcPr>
            <w:tcW w:w="1560" w:type="dxa"/>
          </w:tcPr>
          <w:p w14:paraId="000003B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1544900.2</w:t>
            </w:r>
          </w:p>
        </w:tc>
      </w:tr>
      <w:tr w:rsidR="001E40A1" w14:paraId="4F37FE66" w14:textId="77777777">
        <w:trPr>
          <w:trHeight w:val="59"/>
        </w:trPr>
        <w:tc>
          <w:tcPr>
            <w:tcW w:w="1857" w:type="dxa"/>
            <w:shd w:val="clear" w:color="auto" w:fill="FCE4D6"/>
            <w:vAlign w:val="center"/>
          </w:tcPr>
          <w:p w14:paraId="000003B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682" w:type="dxa"/>
            <w:shd w:val="clear" w:color="auto" w:fill="auto"/>
            <w:vAlign w:val="center"/>
          </w:tcPr>
          <w:p w14:paraId="000003B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60000-99999</w:t>
            </w:r>
          </w:p>
        </w:tc>
        <w:tc>
          <w:tcPr>
            <w:tcW w:w="1559" w:type="dxa"/>
          </w:tcPr>
          <w:p w14:paraId="000003B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2202243.9</w:t>
            </w:r>
          </w:p>
        </w:tc>
        <w:tc>
          <w:tcPr>
            <w:tcW w:w="1559" w:type="dxa"/>
          </w:tcPr>
          <w:p w14:paraId="000003B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2202243.9</w:t>
            </w:r>
          </w:p>
        </w:tc>
        <w:tc>
          <w:tcPr>
            <w:tcW w:w="1559" w:type="dxa"/>
          </w:tcPr>
          <w:p w14:paraId="000003C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1796567.4</w:t>
            </w:r>
          </w:p>
        </w:tc>
        <w:tc>
          <w:tcPr>
            <w:tcW w:w="1560" w:type="dxa"/>
          </w:tcPr>
          <w:p w14:paraId="000003C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1796567.4</w:t>
            </w:r>
          </w:p>
        </w:tc>
      </w:tr>
      <w:tr w:rsidR="001E40A1" w14:paraId="32276A3E" w14:textId="77777777">
        <w:trPr>
          <w:trHeight w:val="59"/>
        </w:trPr>
        <w:tc>
          <w:tcPr>
            <w:tcW w:w="1857" w:type="dxa"/>
            <w:shd w:val="clear" w:color="auto" w:fill="FCE4D6"/>
            <w:vAlign w:val="center"/>
          </w:tcPr>
          <w:p w14:paraId="000003C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682" w:type="dxa"/>
            <w:shd w:val="clear" w:color="auto" w:fill="auto"/>
            <w:vAlign w:val="center"/>
          </w:tcPr>
          <w:p w14:paraId="000003C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100000-+</w:t>
            </w:r>
          </w:p>
        </w:tc>
        <w:tc>
          <w:tcPr>
            <w:tcW w:w="1559" w:type="dxa"/>
          </w:tcPr>
          <w:p w14:paraId="000003C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1693881.6</w:t>
            </w:r>
          </w:p>
        </w:tc>
        <w:tc>
          <w:tcPr>
            <w:tcW w:w="1559" w:type="dxa"/>
          </w:tcPr>
          <w:p w14:paraId="000003C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1693881.6</w:t>
            </w:r>
          </w:p>
        </w:tc>
        <w:tc>
          <w:tcPr>
            <w:tcW w:w="1559" w:type="dxa"/>
          </w:tcPr>
          <w:p w14:paraId="000003C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1381850.8</w:t>
            </w:r>
          </w:p>
        </w:tc>
        <w:tc>
          <w:tcPr>
            <w:tcW w:w="1560" w:type="dxa"/>
          </w:tcPr>
          <w:p w14:paraId="000003C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1381850.8</w:t>
            </w:r>
          </w:p>
        </w:tc>
      </w:tr>
      <w:tr w:rsidR="001E40A1" w14:paraId="2D23A889" w14:textId="77777777">
        <w:trPr>
          <w:trHeight w:val="59"/>
        </w:trPr>
        <w:tc>
          <w:tcPr>
            <w:tcW w:w="1857" w:type="dxa"/>
            <w:shd w:val="clear" w:color="auto" w:fill="FCE4D6"/>
            <w:vAlign w:val="center"/>
          </w:tcPr>
          <w:p w14:paraId="000003C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Ferry-RoPax*</w:t>
            </w:r>
          </w:p>
        </w:tc>
        <w:tc>
          <w:tcPr>
            <w:tcW w:w="1682" w:type="dxa"/>
            <w:shd w:val="clear" w:color="auto" w:fill="auto"/>
            <w:vAlign w:val="center"/>
          </w:tcPr>
          <w:p w14:paraId="000003C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559" w:type="dxa"/>
          </w:tcPr>
          <w:p w14:paraId="000003C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1041356.9</w:t>
            </w:r>
          </w:p>
        </w:tc>
        <w:tc>
          <w:tcPr>
            <w:tcW w:w="1559" w:type="dxa"/>
          </w:tcPr>
          <w:p w14:paraId="000003C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1041356.9</w:t>
            </w:r>
          </w:p>
        </w:tc>
        <w:tc>
          <w:tcPr>
            <w:tcW w:w="1559" w:type="dxa"/>
          </w:tcPr>
          <w:p w14:paraId="000003C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849528.0</w:t>
            </w:r>
          </w:p>
        </w:tc>
        <w:tc>
          <w:tcPr>
            <w:tcW w:w="1560" w:type="dxa"/>
          </w:tcPr>
          <w:p w14:paraId="000003C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849528.0</w:t>
            </w:r>
          </w:p>
        </w:tc>
      </w:tr>
      <w:tr w:rsidR="001E40A1" w14:paraId="4C056BB5" w14:textId="77777777">
        <w:trPr>
          <w:trHeight w:val="59"/>
        </w:trPr>
        <w:tc>
          <w:tcPr>
            <w:tcW w:w="1857" w:type="dxa"/>
            <w:shd w:val="clear" w:color="auto" w:fill="FCE4D6"/>
            <w:vAlign w:val="center"/>
          </w:tcPr>
          <w:p w14:paraId="000003C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Ferry-RoPax*</w:t>
            </w:r>
          </w:p>
        </w:tc>
        <w:tc>
          <w:tcPr>
            <w:tcW w:w="1682" w:type="dxa"/>
            <w:shd w:val="clear" w:color="auto" w:fill="auto"/>
            <w:vAlign w:val="center"/>
          </w:tcPr>
          <w:p w14:paraId="000003C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w:t>
            </w:r>
          </w:p>
        </w:tc>
        <w:tc>
          <w:tcPr>
            <w:tcW w:w="1559" w:type="dxa"/>
          </w:tcPr>
          <w:p w14:paraId="000003D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1440204.8</w:t>
            </w:r>
          </w:p>
        </w:tc>
        <w:tc>
          <w:tcPr>
            <w:tcW w:w="1559" w:type="dxa"/>
          </w:tcPr>
          <w:p w14:paraId="000003D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1440204.8</w:t>
            </w:r>
          </w:p>
        </w:tc>
        <w:tc>
          <w:tcPr>
            <w:tcW w:w="1559" w:type="dxa"/>
          </w:tcPr>
          <w:p w14:paraId="000003D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1174903.9</w:t>
            </w:r>
          </w:p>
        </w:tc>
        <w:tc>
          <w:tcPr>
            <w:tcW w:w="1560" w:type="dxa"/>
          </w:tcPr>
          <w:p w14:paraId="000003D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1174903.9</w:t>
            </w:r>
          </w:p>
        </w:tc>
      </w:tr>
      <w:tr w:rsidR="001E40A1" w14:paraId="0701D3BA" w14:textId="77777777">
        <w:trPr>
          <w:trHeight w:val="59"/>
        </w:trPr>
        <w:tc>
          <w:tcPr>
            <w:tcW w:w="1857" w:type="dxa"/>
            <w:shd w:val="clear" w:color="auto" w:fill="auto"/>
            <w:vAlign w:val="center"/>
          </w:tcPr>
          <w:p w14:paraId="000003D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Refrigerated bulk</w:t>
            </w:r>
          </w:p>
        </w:tc>
        <w:tc>
          <w:tcPr>
            <w:tcW w:w="1682" w:type="dxa"/>
            <w:shd w:val="clear" w:color="auto" w:fill="auto"/>
            <w:vAlign w:val="center"/>
          </w:tcPr>
          <w:p w14:paraId="000003D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559" w:type="dxa"/>
          </w:tcPr>
          <w:p w14:paraId="000003D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92.20</w:t>
            </w:r>
          </w:p>
        </w:tc>
        <w:tc>
          <w:tcPr>
            <w:tcW w:w="1559" w:type="dxa"/>
          </w:tcPr>
          <w:p w14:paraId="000003D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61.68</w:t>
            </w:r>
          </w:p>
        </w:tc>
        <w:tc>
          <w:tcPr>
            <w:tcW w:w="1559" w:type="dxa"/>
          </w:tcPr>
          <w:p w14:paraId="000003D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75.2</w:t>
            </w:r>
          </w:p>
        </w:tc>
        <w:tc>
          <w:tcPr>
            <w:tcW w:w="1560" w:type="dxa"/>
          </w:tcPr>
          <w:p w14:paraId="000003D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50.3</w:t>
            </w:r>
          </w:p>
        </w:tc>
      </w:tr>
      <w:tr w:rsidR="001E40A1" w14:paraId="6C24394B" w14:textId="77777777">
        <w:trPr>
          <w:trHeight w:val="104"/>
        </w:trPr>
        <w:tc>
          <w:tcPr>
            <w:tcW w:w="1857" w:type="dxa"/>
            <w:shd w:val="clear" w:color="auto" w:fill="auto"/>
            <w:vAlign w:val="center"/>
          </w:tcPr>
          <w:p w14:paraId="000003D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Ro-Ro</w:t>
            </w:r>
          </w:p>
        </w:tc>
        <w:tc>
          <w:tcPr>
            <w:tcW w:w="1682" w:type="dxa"/>
            <w:shd w:val="clear" w:color="auto" w:fill="auto"/>
            <w:vAlign w:val="center"/>
          </w:tcPr>
          <w:p w14:paraId="000003D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0-4999</w:t>
            </w:r>
          </w:p>
        </w:tc>
        <w:tc>
          <w:tcPr>
            <w:tcW w:w="1559" w:type="dxa"/>
          </w:tcPr>
          <w:p w14:paraId="000003D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327.00</w:t>
            </w:r>
          </w:p>
        </w:tc>
        <w:tc>
          <w:tcPr>
            <w:tcW w:w="1559" w:type="dxa"/>
          </w:tcPr>
          <w:p w14:paraId="000003D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268.98</w:t>
            </w:r>
          </w:p>
        </w:tc>
        <w:tc>
          <w:tcPr>
            <w:tcW w:w="1559" w:type="dxa"/>
          </w:tcPr>
          <w:p w14:paraId="000003D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266.8</w:t>
            </w:r>
          </w:p>
        </w:tc>
        <w:tc>
          <w:tcPr>
            <w:tcW w:w="1560" w:type="dxa"/>
          </w:tcPr>
          <w:p w14:paraId="000003D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219.4</w:t>
            </w:r>
          </w:p>
        </w:tc>
      </w:tr>
      <w:tr w:rsidR="001E40A1" w14:paraId="44B6F153" w14:textId="77777777">
        <w:trPr>
          <w:trHeight w:val="59"/>
        </w:trPr>
        <w:tc>
          <w:tcPr>
            <w:tcW w:w="1857" w:type="dxa"/>
            <w:shd w:val="clear" w:color="auto" w:fill="auto"/>
            <w:vAlign w:val="center"/>
          </w:tcPr>
          <w:p w14:paraId="000003E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Ro-Ro</w:t>
            </w:r>
          </w:p>
        </w:tc>
        <w:tc>
          <w:tcPr>
            <w:tcW w:w="1682" w:type="dxa"/>
            <w:shd w:val="clear" w:color="auto" w:fill="auto"/>
            <w:vAlign w:val="center"/>
          </w:tcPr>
          <w:p w14:paraId="000003E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w:t>
            </w:r>
          </w:p>
        </w:tc>
        <w:tc>
          <w:tcPr>
            <w:tcW w:w="1559" w:type="dxa"/>
          </w:tcPr>
          <w:p w14:paraId="000003E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80.90</w:t>
            </w:r>
          </w:p>
        </w:tc>
        <w:tc>
          <w:tcPr>
            <w:tcW w:w="1559" w:type="dxa"/>
          </w:tcPr>
          <w:p w14:paraId="000003E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58.10</w:t>
            </w:r>
          </w:p>
        </w:tc>
        <w:tc>
          <w:tcPr>
            <w:tcW w:w="1559" w:type="dxa"/>
          </w:tcPr>
          <w:p w14:paraId="000003E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66.0</w:t>
            </w:r>
          </w:p>
        </w:tc>
        <w:tc>
          <w:tcPr>
            <w:tcW w:w="1560" w:type="dxa"/>
          </w:tcPr>
          <w:p w14:paraId="000003E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47.4</w:t>
            </w:r>
          </w:p>
        </w:tc>
      </w:tr>
      <w:tr w:rsidR="001E40A1" w14:paraId="3954D964" w14:textId="77777777">
        <w:trPr>
          <w:trHeight w:val="59"/>
        </w:trPr>
        <w:tc>
          <w:tcPr>
            <w:tcW w:w="1857" w:type="dxa"/>
            <w:shd w:val="clear" w:color="auto" w:fill="auto"/>
            <w:vAlign w:val="center"/>
          </w:tcPr>
          <w:p w14:paraId="000003E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Vehicle</w:t>
            </w:r>
          </w:p>
        </w:tc>
        <w:tc>
          <w:tcPr>
            <w:tcW w:w="1682" w:type="dxa"/>
            <w:shd w:val="clear" w:color="auto" w:fill="auto"/>
            <w:vAlign w:val="center"/>
          </w:tcPr>
          <w:p w14:paraId="000003E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0-3999</w:t>
            </w:r>
          </w:p>
        </w:tc>
        <w:tc>
          <w:tcPr>
            <w:tcW w:w="1559" w:type="dxa"/>
          </w:tcPr>
          <w:p w14:paraId="000003E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158.00</w:t>
            </w:r>
          </w:p>
        </w:tc>
        <w:tc>
          <w:tcPr>
            <w:tcW w:w="1559" w:type="dxa"/>
          </w:tcPr>
          <w:p w14:paraId="000003E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58.26</w:t>
            </w:r>
          </w:p>
        </w:tc>
        <w:tc>
          <w:tcPr>
            <w:tcW w:w="1559" w:type="dxa"/>
          </w:tcPr>
          <w:p w14:paraId="000003E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128.9</w:t>
            </w:r>
          </w:p>
        </w:tc>
        <w:tc>
          <w:tcPr>
            <w:tcW w:w="1560" w:type="dxa"/>
          </w:tcPr>
          <w:p w14:paraId="000003E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47.5</w:t>
            </w:r>
          </w:p>
        </w:tc>
      </w:tr>
      <w:tr w:rsidR="001E40A1" w14:paraId="07249BD0" w14:textId="77777777">
        <w:trPr>
          <w:trHeight w:val="59"/>
        </w:trPr>
        <w:tc>
          <w:tcPr>
            <w:tcW w:w="1857" w:type="dxa"/>
            <w:shd w:val="clear" w:color="auto" w:fill="auto"/>
            <w:vAlign w:val="center"/>
          </w:tcPr>
          <w:p w14:paraId="000003E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Vehicle</w:t>
            </w:r>
          </w:p>
        </w:tc>
        <w:tc>
          <w:tcPr>
            <w:tcW w:w="1682" w:type="dxa"/>
            <w:shd w:val="clear" w:color="auto" w:fill="auto"/>
            <w:vAlign w:val="center"/>
          </w:tcPr>
          <w:p w14:paraId="000003E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4000-+</w:t>
            </w:r>
          </w:p>
        </w:tc>
        <w:tc>
          <w:tcPr>
            <w:tcW w:w="1559" w:type="dxa"/>
          </w:tcPr>
          <w:p w14:paraId="000003E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73.60</w:t>
            </w:r>
          </w:p>
        </w:tc>
        <w:tc>
          <w:tcPr>
            <w:tcW w:w="1559" w:type="dxa"/>
          </w:tcPr>
          <w:p w14:paraId="000003E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17.42</w:t>
            </w:r>
          </w:p>
        </w:tc>
        <w:tc>
          <w:tcPr>
            <w:tcW w:w="1559" w:type="dxa"/>
          </w:tcPr>
          <w:p w14:paraId="000003F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60.0</w:t>
            </w:r>
          </w:p>
        </w:tc>
        <w:tc>
          <w:tcPr>
            <w:tcW w:w="1560" w:type="dxa"/>
          </w:tcPr>
          <w:p w14:paraId="000003F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14.2</w:t>
            </w:r>
          </w:p>
        </w:tc>
      </w:tr>
    </w:tbl>
    <w:p w14:paraId="000003F2" w14:textId="77777777" w:rsidR="001E40A1" w:rsidRDefault="007A0446">
      <w:pPr>
        <w:spacing w:before="105"/>
        <w:ind w:right="754"/>
        <w:rPr>
          <w:rFonts w:ascii="Calibri" w:eastAsia="Calibri" w:hAnsi="Calibri" w:cs="Calibri"/>
        </w:rPr>
      </w:pPr>
      <w:r>
        <w:rPr>
          <w:rFonts w:ascii="Calibri" w:eastAsia="Calibri" w:hAnsi="Calibri" w:cs="Calibri"/>
          <w:i/>
          <w:color w:val="042D40"/>
        </w:rPr>
        <w:t xml:space="preserve">Table 6. Fleet type and size specific AER in 2012 and trajectory values for 2019. </w:t>
      </w:r>
      <w:r>
        <w:rPr>
          <w:rFonts w:ascii="Calibri" w:eastAsia="Calibri" w:hAnsi="Calibri" w:cs="Calibri"/>
          <w:i/>
          <w:color w:val="042D40"/>
        </w:rPr>
        <w:br/>
      </w:r>
      <w:r>
        <w:rPr>
          <w:rFonts w:ascii="Calibri" w:eastAsia="Calibri" w:hAnsi="Calibri" w:cs="Calibri"/>
          <w:i/>
          <w:color w:val="042D40"/>
        </w:rPr>
        <w:t>*For Ferry-pax only, Cruise, and Ferry RoPax, the denominator is GT*nm instead of tnm.</w:t>
      </w:r>
      <w:r>
        <w:rPr>
          <w:rFonts w:ascii="Calibri" w:eastAsia="Calibri" w:hAnsi="Calibri" w:cs="Calibri"/>
          <w:i/>
          <w:color w:val="042D40"/>
        </w:rPr>
        <w:br/>
      </w:r>
      <w:r>
        <w:rPr>
          <w:rFonts w:ascii="Calibri" w:eastAsia="Calibri" w:hAnsi="Calibri" w:cs="Calibri"/>
          <w:i/>
          <w:color w:val="042D40"/>
        </w:rPr>
        <w:br/>
      </w:r>
    </w:p>
    <w:p w14:paraId="000003F3" w14:textId="77777777" w:rsidR="001E40A1" w:rsidRDefault="007A0446">
      <w:pPr>
        <w:spacing w:before="105"/>
        <w:ind w:right="754"/>
        <w:rPr>
          <w:rFonts w:ascii="Calibri" w:eastAsia="Calibri" w:hAnsi="Calibri" w:cs="Calibri"/>
        </w:rPr>
        <w:sectPr w:rsidR="001E40A1">
          <w:pgSz w:w="11906" w:h="16838"/>
          <w:pgMar w:top="1280" w:right="1105" w:bottom="1020" w:left="872" w:header="984" w:footer="823" w:gutter="0"/>
          <w:cols w:space="720" w:equalWidth="0">
            <w:col w:w="9360"/>
          </w:cols>
        </w:sectPr>
      </w:pPr>
      <w:r>
        <w:rPr>
          <w:rFonts w:ascii="Calibri" w:eastAsia="Calibri" w:hAnsi="Calibri" w:cs="Calibri"/>
        </w:rPr>
        <w:t xml:space="preserve"> </w:t>
      </w:r>
    </w:p>
    <w:p w14:paraId="000003F4" w14:textId="77777777" w:rsidR="001E40A1" w:rsidRDefault="007A0446">
      <w:pPr>
        <w:rPr>
          <w:rFonts w:ascii="Calibri" w:eastAsia="Calibri" w:hAnsi="Calibri" w:cs="Calibri"/>
          <w:i/>
        </w:rPr>
      </w:pPr>
      <w:r>
        <w:rPr>
          <w:rFonts w:ascii="Calibri" w:eastAsia="Calibri" w:hAnsi="Calibri" w:cs="Calibri"/>
          <w:i/>
          <w:color w:val="042D40"/>
        </w:rPr>
        <w:lastRenderedPageBreak/>
        <w:t>Table 7. Fleet type and size specific AER and EEOI values for each decade starting from 2020 to 2050. For Ferry-pax only, Cruise, and Ferry RoPax,</w:t>
      </w:r>
      <w:r>
        <w:rPr>
          <w:rFonts w:ascii="Calibri" w:eastAsia="Calibri" w:hAnsi="Calibri" w:cs="Calibri"/>
          <w:i/>
          <w:color w:val="042D40"/>
        </w:rPr>
        <w:t xml:space="preserve"> the denominator is GT*nm instead of tnm.</w:t>
      </w:r>
      <w:r>
        <w:rPr>
          <w:rFonts w:ascii="Calibri" w:eastAsia="Calibri" w:hAnsi="Calibri" w:cs="Calibri"/>
          <w:i/>
        </w:rPr>
        <w:t xml:space="preserve"> </w:t>
      </w:r>
    </w:p>
    <w:p w14:paraId="000003F5" w14:textId="77777777" w:rsidR="001E40A1" w:rsidRDefault="001E40A1">
      <w:pPr>
        <w:rPr>
          <w:rFonts w:ascii="Calibri" w:eastAsia="Calibri" w:hAnsi="Calibri" w:cs="Calibri"/>
        </w:rPr>
      </w:pPr>
    </w:p>
    <w:tbl>
      <w:tblPr>
        <w:tblStyle w:val="ab"/>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843"/>
        <w:gridCol w:w="1795"/>
        <w:gridCol w:w="1795"/>
        <w:gridCol w:w="1796"/>
        <w:gridCol w:w="851"/>
      </w:tblGrid>
      <w:tr w:rsidR="001E40A1" w14:paraId="227A1CCF" w14:textId="77777777">
        <w:trPr>
          <w:trHeight w:val="360"/>
        </w:trPr>
        <w:tc>
          <w:tcPr>
            <w:tcW w:w="1843" w:type="dxa"/>
            <w:shd w:val="clear" w:color="auto" w:fill="2F5496"/>
            <w:vAlign w:val="center"/>
          </w:tcPr>
          <w:p w14:paraId="000003F6" w14:textId="77777777" w:rsidR="001E40A1" w:rsidRDefault="007A0446">
            <w:pPr>
              <w:pBdr>
                <w:top w:val="nil"/>
                <w:left w:val="nil"/>
                <w:bottom w:val="nil"/>
                <w:right w:val="nil"/>
                <w:between w:val="nil"/>
              </w:pBdr>
              <w:rPr>
                <w:rFonts w:ascii="Calibri" w:eastAsia="Calibri" w:hAnsi="Calibri" w:cs="Calibri"/>
                <w:b/>
                <w:color w:val="FFFFFF"/>
              </w:rPr>
            </w:pPr>
            <w:r>
              <w:rPr>
                <w:rFonts w:ascii="Calibri" w:eastAsia="Calibri" w:hAnsi="Calibri" w:cs="Calibri"/>
                <w:b/>
                <w:color w:val="FFFFFF"/>
              </w:rPr>
              <w:t>Type</w:t>
            </w:r>
          </w:p>
        </w:tc>
        <w:tc>
          <w:tcPr>
            <w:tcW w:w="1843" w:type="dxa"/>
            <w:shd w:val="clear" w:color="auto" w:fill="2F5496"/>
            <w:vAlign w:val="center"/>
          </w:tcPr>
          <w:p w14:paraId="000003F7" w14:textId="77777777" w:rsidR="001E40A1" w:rsidRDefault="007A0446">
            <w:pPr>
              <w:pBdr>
                <w:top w:val="nil"/>
                <w:left w:val="nil"/>
                <w:bottom w:val="nil"/>
                <w:right w:val="nil"/>
                <w:between w:val="nil"/>
              </w:pBdr>
              <w:rPr>
                <w:rFonts w:ascii="Calibri" w:eastAsia="Calibri" w:hAnsi="Calibri" w:cs="Calibri"/>
                <w:b/>
                <w:color w:val="FFFFFF"/>
              </w:rPr>
            </w:pPr>
            <w:r>
              <w:rPr>
                <w:rFonts w:ascii="Calibri" w:eastAsia="Calibri" w:hAnsi="Calibri" w:cs="Calibri"/>
                <w:b/>
                <w:color w:val="FFFFFF"/>
              </w:rPr>
              <w:t>Size (GT)</w:t>
            </w:r>
          </w:p>
        </w:tc>
        <w:tc>
          <w:tcPr>
            <w:tcW w:w="1795" w:type="dxa"/>
            <w:shd w:val="clear" w:color="auto" w:fill="2F5496"/>
            <w:vAlign w:val="center"/>
          </w:tcPr>
          <w:p w14:paraId="000003F8"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2020 EEOI/AER</w:t>
            </w:r>
          </w:p>
        </w:tc>
        <w:tc>
          <w:tcPr>
            <w:tcW w:w="1795" w:type="dxa"/>
            <w:shd w:val="clear" w:color="auto" w:fill="2F5496"/>
            <w:vAlign w:val="center"/>
          </w:tcPr>
          <w:p w14:paraId="000003F9"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2030 EEOI/AER</w:t>
            </w:r>
          </w:p>
        </w:tc>
        <w:tc>
          <w:tcPr>
            <w:tcW w:w="1796" w:type="dxa"/>
            <w:shd w:val="clear" w:color="auto" w:fill="2F5496"/>
            <w:vAlign w:val="center"/>
          </w:tcPr>
          <w:p w14:paraId="000003FA"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2040 EEOI/AER</w:t>
            </w:r>
          </w:p>
        </w:tc>
        <w:tc>
          <w:tcPr>
            <w:tcW w:w="851" w:type="dxa"/>
            <w:shd w:val="clear" w:color="auto" w:fill="2F5496"/>
            <w:vAlign w:val="center"/>
          </w:tcPr>
          <w:p w14:paraId="000003FB" w14:textId="77777777" w:rsidR="001E40A1" w:rsidRDefault="007A0446">
            <w:pPr>
              <w:pBdr>
                <w:top w:val="nil"/>
                <w:left w:val="nil"/>
                <w:bottom w:val="nil"/>
                <w:right w:val="nil"/>
                <w:between w:val="nil"/>
              </w:pBdr>
              <w:jc w:val="center"/>
              <w:rPr>
                <w:rFonts w:ascii="Calibri" w:eastAsia="Calibri" w:hAnsi="Calibri" w:cs="Calibri"/>
                <w:b/>
                <w:color w:val="FFFFFF"/>
              </w:rPr>
            </w:pPr>
            <w:r>
              <w:rPr>
                <w:rFonts w:ascii="Calibri" w:eastAsia="Calibri" w:hAnsi="Calibri" w:cs="Calibri"/>
                <w:b/>
                <w:color w:val="FFFFFF"/>
              </w:rPr>
              <w:t>2050</w:t>
            </w:r>
          </w:p>
        </w:tc>
      </w:tr>
      <w:tr w:rsidR="001E40A1" w14:paraId="41AFE50D" w14:textId="77777777">
        <w:trPr>
          <w:trHeight w:val="59"/>
        </w:trPr>
        <w:tc>
          <w:tcPr>
            <w:tcW w:w="1843" w:type="dxa"/>
            <w:shd w:val="clear" w:color="auto" w:fill="auto"/>
            <w:vAlign w:val="center"/>
          </w:tcPr>
          <w:p w14:paraId="000003F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843" w:type="dxa"/>
            <w:shd w:val="clear" w:color="auto" w:fill="auto"/>
            <w:vAlign w:val="center"/>
          </w:tcPr>
          <w:p w14:paraId="000003F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0-9999</w:t>
            </w:r>
          </w:p>
        </w:tc>
        <w:tc>
          <w:tcPr>
            <w:tcW w:w="1795" w:type="dxa"/>
            <w:vAlign w:val="bottom"/>
          </w:tcPr>
          <w:p w14:paraId="000003F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35.1 / 24.6</w:t>
            </w:r>
          </w:p>
        </w:tc>
        <w:tc>
          <w:tcPr>
            <w:tcW w:w="1795" w:type="dxa"/>
            <w:vAlign w:val="bottom"/>
          </w:tcPr>
          <w:p w14:paraId="000003F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23.4 / 16.4</w:t>
            </w:r>
          </w:p>
        </w:tc>
        <w:tc>
          <w:tcPr>
            <w:tcW w:w="1796" w:type="dxa"/>
            <w:vAlign w:val="bottom"/>
          </w:tcPr>
          <w:p w14:paraId="0000040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11.7 / 8.2</w:t>
            </w:r>
          </w:p>
        </w:tc>
        <w:tc>
          <w:tcPr>
            <w:tcW w:w="851" w:type="dxa"/>
            <w:vAlign w:val="bottom"/>
          </w:tcPr>
          <w:p w14:paraId="0000040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3F2F1E0" w14:textId="77777777">
        <w:trPr>
          <w:trHeight w:val="203"/>
        </w:trPr>
        <w:tc>
          <w:tcPr>
            <w:tcW w:w="1843" w:type="dxa"/>
            <w:shd w:val="clear" w:color="auto" w:fill="auto"/>
            <w:vAlign w:val="center"/>
          </w:tcPr>
          <w:p w14:paraId="0000040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843" w:type="dxa"/>
            <w:shd w:val="clear" w:color="auto" w:fill="auto"/>
            <w:vAlign w:val="center"/>
          </w:tcPr>
          <w:p w14:paraId="0000040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10000-34999</w:t>
            </w:r>
          </w:p>
        </w:tc>
        <w:tc>
          <w:tcPr>
            <w:tcW w:w="1795" w:type="dxa"/>
            <w:vAlign w:val="bottom"/>
          </w:tcPr>
          <w:p w14:paraId="0000040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12.2 / 6.6</w:t>
            </w:r>
          </w:p>
        </w:tc>
        <w:tc>
          <w:tcPr>
            <w:tcW w:w="1795" w:type="dxa"/>
            <w:vAlign w:val="bottom"/>
          </w:tcPr>
          <w:p w14:paraId="0000040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8.1 / 4.4</w:t>
            </w:r>
          </w:p>
        </w:tc>
        <w:tc>
          <w:tcPr>
            <w:tcW w:w="1796" w:type="dxa"/>
            <w:vAlign w:val="bottom"/>
          </w:tcPr>
          <w:p w14:paraId="0000040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4.1 / 2.2</w:t>
            </w:r>
          </w:p>
        </w:tc>
        <w:tc>
          <w:tcPr>
            <w:tcW w:w="851" w:type="dxa"/>
            <w:vAlign w:val="bottom"/>
          </w:tcPr>
          <w:p w14:paraId="0000040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6A35E328" w14:textId="77777777">
        <w:trPr>
          <w:trHeight w:val="59"/>
        </w:trPr>
        <w:tc>
          <w:tcPr>
            <w:tcW w:w="1843" w:type="dxa"/>
            <w:shd w:val="clear" w:color="auto" w:fill="auto"/>
            <w:vAlign w:val="center"/>
          </w:tcPr>
          <w:p w14:paraId="0000040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843" w:type="dxa"/>
            <w:shd w:val="clear" w:color="auto" w:fill="auto"/>
            <w:vAlign w:val="center"/>
          </w:tcPr>
          <w:p w14:paraId="0000040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35000-59999</w:t>
            </w:r>
          </w:p>
        </w:tc>
        <w:tc>
          <w:tcPr>
            <w:tcW w:w="1795" w:type="dxa"/>
            <w:vAlign w:val="bottom"/>
          </w:tcPr>
          <w:p w14:paraId="0000040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9.2 / 4.6</w:t>
            </w:r>
          </w:p>
        </w:tc>
        <w:tc>
          <w:tcPr>
            <w:tcW w:w="1795" w:type="dxa"/>
            <w:vAlign w:val="bottom"/>
          </w:tcPr>
          <w:p w14:paraId="0000040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6.2 / 3.1</w:t>
            </w:r>
          </w:p>
        </w:tc>
        <w:tc>
          <w:tcPr>
            <w:tcW w:w="1796" w:type="dxa"/>
            <w:vAlign w:val="bottom"/>
          </w:tcPr>
          <w:p w14:paraId="0000040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3.1 / 1.5</w:t>
            </w:r>
          </w:p>
        </w:tc>
        <w:tc>
          <w:tcPr>
            <w:tcW w:w="851" w:type="dxa"/>
            <w:vAlign w:val="bottom"/>
          </w:tcPr>
          <w:p w14:paraId="0000040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30586BFF" w14:textId="77777777">
        <w:trPr>
          <w:trHeight w:val="59"/>
        </w:trPr>
        <w:tc>
          <w:tcPr>
            <w:tcW w:w="1843" w:type="dxa"/>
            <w:shd w:val="clear" w:color="auto" w:fill="auto"/>
            <w:vAlign w:val="center"/>
          </w:tcPr>
          <w:p w14:paraId="0000040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843" w:type="dxa"/>
            <w:shd w:val="clear" w:color="auto" w:fill="auto"/>
            <w:vAlign w:val="center"/>
          </w:tcPr>
          <w:p w14:paraId="0000040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60000-99999</w:t>
            </w:r>
          </w:p>
        </w:tc>
        <w:tc>
          <w:tcPr>
            <w:tcW w:w="1795" w:type="dxa"/>
            <w:vAlign w:val="bottom"/>
          </w:tcPr>
          <w:p w14:paraId="0000041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8.4 / 3.6</w:t>
            </w:r>
          </w:p>
        </w:tc>
        <w:tc>
          <w:tcPr>
            <w:tcW w:w="1795" w:type="dxa"/>
            <w:vAlign w:val="bottom"/>
          </w:tcPr>
          <w:p w14:paraId="0000041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5.6 / 2.4</w:t>
            </w:r>
          </w:p>
        </w:tc>
        <w:tc>
          <w:tcPr>
            <w:tcW w:w="1796" w:type="dxa"/>
            <w:vAlign w:val="bottom"/>
          </w:tcPr>
          <w:p w14:paraId="0000041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2.8 / 1.2</w:t>
            </w:r>
          </w:p>
        </w:tc>
        <w:tc>
          <w:tcPr>
            <w:tcW w:w="851" w:type="dxa"/>
            <w:vAlign w:val="bottom"/>
          </w:tcPr>
          <w:p w14:paraId="0000041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4B33CFC8" w14:textId="77777777">
        <w:trPr>
          <w:trHeight w:val="104"/>
        </w:trPr>
        <w:tc>
          <w:tcPr>
            <w:tcW w:w="1843" w:type="dxa"/>
            <w:shd w:val="clear" w:color="auto" w:fill="auto"/>
            <w:vAlign w:val="center"/>
          </w:tcPr>
          <w:p w14:paraId="0000041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843" w:type="dxa"/>
            <w:shd w:val="clear" w:color="auto" w:fill="auto"/>
            <w:vAlign w:val="center"/>
          </w:tcPr>
          <w:p w14:paraId="0000041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100000-199999</w:t>
            </w:r>
          </w:p>
        </w:tc>
        <w:tc>
          <w:tcPr>
            <w:tcW w:w="1795" w:type="dxa"/>
            <w:vAlign w:val="bottom"/>
          </w:tcPr>
          <w:p w14:paraId="0000041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4.6 / 2.4</w:t>
            </w:r>
          </w:p>
        </w:tc>
        <w:tc>
          <w:tcPr>
            <w:tcW w:w="1795" w:type="dxa"/>
            <w:vAlign w:val="bottom"/>
          </w:tcPr>
          <w:p w14:paraId="0000041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3.1 / 1.6</w:t>
            </w:r>
          </w:p>
        </w:tc>
        <w:tc>
          <w:tcPr>
            <w:tcW w:w="1796" w:type="dxa"/>
            <w:vAlign w:val="bottom"/>
          </w:tcPr>
          <w:p w14:paraId="0000041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 0.8</w:t>
            </w:r>
          </w:p>
        </w:tc>
        <w:tc>
          <w:tcPr>
            <w:tcW w:w="851" w:type="dxa"/>
            <w:vAlign w:val="bottom"/>
          </w:tcPr>
          <w:p w14:paraId="0000041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DB703B3" w14:textId="77777777">
        <w:trPr>
          <w:trHeight w:val="59"/>
        </w:trPr>
        <w:tc>
          <w:tcPr>
            <w:tcW w:w="1843" w:type="dxa"/>
            <w:shd w:val="clear" w:color="auto" w:fill="auto"/>
            <w:vAlign w:val="center"/>
          </w:tcPr>
          <w:p w14:paraId="0000041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Bulk carrier</w:t>
            </w:r>
          </w:p>
        </w:tc>
        <w:tc>
          <w:tcPr>
            <w:tcW w:w="1843" w:type="dxa"/>
            <w:shd w:val="clear" w:color="auto" w:fill="auto"/>
            <w:vAlign w:val="center"/>
          </w:tcPr>
          <w:p w14:paraId="0000041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200000-+</w:t>
            </w:r>
          </w:p>
        </w:tc>
        <w:tc>
          <w:tcPr>
            <w:tcW w:w="1795" w:type="dxa"/>
            <w:vAlign w:val="bottom"/>
          </w:tcPr>
          <w:p w14:paraId="0000041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4.1 / 2.3</w:t>
            </w:r>
          </w:p>
        </w:tc>
        <w:tc>
          <w:tcPr>
            <w:tcW w:w="1795" w:type="dxa"/>
            <w:vAlign w:val="bottom"/>
          </w:tcPr>
          <w:p w14:paraId="0000041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2.7 / 1.5</w:t>
            </w:r>
          </w:p>
        </w:tc>
        <w:tc>
          <w:tcPr>
            <w:tcW w:w="1796" w:type="dxa"/>
            <w:vAlign w:val="bottom"/>
          </w:tcPr>
          <w:p w14:paraId="0000041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 / 0.8</w:t>
            </w:r>
          </w:p>
        </w:tc>
        <w:tc>
          <w:tcPr>
            <w:tcW w:w="851" w:type="dxa"/>
            <w:vAlign w:val="bottom"/>
          </w:tcPr>
          <w:p w14:paraId="0000041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115ADEA" w14:textId="77777777">
        <w:trPr>
          <w:trHeight w:val="59"/>
        </w:trPr>
        <w:tc>
          <w:tcPr>
            <w:tcW w:w="1843" w:type="dxa"/>
            <w:shd w:val="clear" w:color="auto" w:fill="auto"/>
            <w:vAlign w:val="center"/>
          </w:tcPr>
          <w:p w14:paraId="0000042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843" w:type="dxa"/>
            <w:shd w:val="clear" w:color="auto" w:fill="auto"/>
            <w:vAlign w:val="center"/>
          </w:tcPr>
          <w:p w14:paraId="0000042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0-4999</w:t>
            </w:r>
          </w:p>
        </w:tc>
        <w:tc>
          <w:tcPr>
            <w:tcW w:w="1795" w:type="dxa"/>
            <w:vAlign w:val="bottom"/>
          </w:tcPr>
          <w:p w14:paraId="0000042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40.3 / 35.4</w:t>
            </w:r>
          </w:p>
        </w:tc>
        <w:tc>
          <w:tcPr>
            <w:tcW w:w="1795" w:type="dxa"/>
            <w:vAlign w:val="bottom"/>
          </w:tcPr>
          <w:p w14:paraId="0000042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26.8 / 23.6</w:t>
            </w:r>
          </w:p>
        </w:tc>
        <w:tc>
          <w:tcPr>
            <w:tcW w:w="1796" w:type="dxa"/>
            <w:vAlign w:val="bottom"/>
          </w:tcPr>
          <w:p w14:paraId="0000042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13.4 / 11.8</w:t>
            </w:r>
          </w:p>
        </w:tc>
        <w:tc>
          <w:tcPr>
            <w:tcW w:w="851" w:type="dxa"/>
            <w:vAlign w:val="bottom"/>
          </w:tcPr>
          <w:p w14:paraId="0000042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07BDB337" w14:textId="77777777">
        <w:trPr>
          <w:trHeight w:val="59"/>
        </w:trPr>
        <w:tc>
          <w:tcPr>
            <w:tcW w:w="1843" w:type="dxa"/>
            <w:shd w:val="clear" w:color="auto" w:fill="auto"/>
            <w:vAlign w:val="center"/>
          </w:tcPr>
          <w:p w14:paraId="0000042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843" w:type="dxa"/>
            <w:shd w:val="clear" w:color="auto" w:fill="auto"/>
            <w:vAlign w:val="center"/>
          </w:tcPr>
          <w:p w14:paraId="0000042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5000-9999</w:t>
            </w:r>
          </w:p>
        </w:tc>
        <w:tc>
          <w:tcPr>
            <w:tcW w:w="1795" w:type="dxa"/>
            <w:vAlign w:val="bottom"/>
          </w:tcPr>
          <w:p w14:paraId="0000042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26.6 / 19</w:t>
            </w:r>
          </w:p>
        </w:tc>
        <w:tc>
          <w:tcPr>
            <w:tcW w:w="1795" w:type="dxa"/>
            <w:vAlign w:val="bottom"/>
          </w:tcPr>
          <w:p w14:paraId="0000042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17.7 / 12.7</w:t>
            </w:r>
          </w:p>
        </w:tc>
        <w:tc>
          <w:tcPr>
            <w:tcW w:w="1796" w:type="dxa"/>
            <w:vAlign w:val="bottom"/>
          </w:tcPr>
          <w:p w14:paraId="0000042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8.9 / 6.3</w:t>
            </w:r>
          </w:p>
        </w:tc>
        <w:tc>
          <w:tcPr>
            <w:tcW w:w="851" w:type="dxa"/>
            <w:vAlign w:val="bottom"/>
          </w:tcPr>
          <w:p w14:paraId="0000042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3910A38" w14:textId="77777777">
        <w:trPr>
          <w:trHeight w:val="59"/>
        </w:trPr>
        <w:tc>
          <w:tcPr>
            <w:tcW w:w="1843" w:type="dxa"/>
            <w:shd w:val="clear" w:color="auto" w:fill="auto"/>
            <w:vAlign w:val="center"/>
          </w:tcPr>
          <w:p w14:paraId="0000042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843" w:type="dxa"/>
            <w:shd w:val="clear" w:color="auto" w:fill="auto"/>
            <w:vAlign w:val="center"/>
          </w:tcPr>
          <w:p w14:paraId="0000042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10000-19999</w:t>
            </w:r>
          </w:p>
        </w:tc>
        <w:tc>
          <w:tcPr>
            <w:tcW w:w="1795" w:type="dxa"/>
            <w:vAlign w:val="bottom"/>
          </w:tcPr>
          <w:p w14:paraId="0000042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18.7 / 11.9</w:t>
            </w:r>
          </w:p>
        </w:tc>
        <w:tc>
          <w:tcPr>
            <w:tcW w:w="1795" w:type="dxa"/>
            <w:vAlign w:val="bottom"/>
          </w:tcPr>
          <w:p w14:paraId="0000042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12.5 / 7.9</w:t>
            </w:r>
          </w:p>
        </w:tc>
        <w:tc>
          <w:tcPr>
            <w:tcW w:w="1796" w:type="dxa"/>
            <w:vAlign w:val="bottom"/>
          </w:tcPr>
          <w:p w14:paraId="0000043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6.2 / 4</w:t>
            </w:r>
          </w:p>
        </w:tc>
        <w:tc>
          <w:tcPr>
            <w:tcW w:w="851" w:type="dxa"/>
            <w:vAlign w:val="bottom"/>
          </w:tcPr>
          <w:p w14:paraId="0000043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3E41B387" w14:textId="77777777">
        <w:trPr>
          <w:trHeight w:val="59"/>
        </w:trPr>
        <w:tc>
          <w:tcPr>
            <w:tcW w:w="1843" w:type="dxa"/>
            <w:shd w:val="clear" w:color="auto" w:fill="auto"/>
            <w:vAlign w:val="center"/>
          </w:tcPr>
          <w:p w14:paraId="0000043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Chemical tanker</w:t>
            </w:r>
          </w:p>
        </w:tc>
        <w:tc>
          <w:tcPr>
            <w:tcW w:w="1843" w:type="dxa"/>
            <w:shd w:val="clear" w:color="auto" w:fill="auto"/>
            <w:vAlign w:val="center"/>
          </w:tcPr>
          <w:p w14:paraId="0000043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20000-+</w:t>
            </w:r>
          </w:p>
        </w:tc>
        <w:tc>
          <w:tcPr>
            <w:tcW w:w="1795" w:type="dxa"/>
            <w:vAlign w:val="bottom"/>
          </w:tcPr>
          <w:p w14:paraId="0000043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12.3 / 6.5</w:t>
            </w:r>
          </w:p>
        </w:tc>
        <w:tc>
          <w:tcPr>
            <w:tcW w:w="1795" w:type="dxa"/>
            <w:vAlign w:val="bottom"/>
          </w:tcPr>
          <w:p w14:paraId="0000043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8.2 / 4.3</w:t>
            </w:r>
          </w:p>
        </w:tc>
        <w:tc>
          <w:tcPr>
            <w:tcW w:w="1796" w:type="dxa"/>
            <w:vAlign w:val="bottom"/>
          </w:tcPr>
          <w:p w14:paraId="0000043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4.1 / 2.2</w:t>
            </w:r>
          </w:p>
        </w:tc>
        <w:tc>
          <w:tcPr>
            <w:tcW w:w="851" w:type="dxa"/>
            <w:vAlign w:val="bottom"/>
          </w:tcPr>
          <w:p w14:paraId="0000043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799109D2" w14:textId="77777777">
        <w:trPr>
          <w:trHeight w:val="59"/>
        </w:trPr>
        <w:tc>
          <w:tcPr>
            <w:tcW w:w="1843" w:type="dxa"/>
            <w:shd w:val="clear" w:color="auto" w:fill="auto"/>
            <w:vAlign w:val="center"/>
          </w:tcPr>
          <w:p w14:paraId="0000043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3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0-999</w:t>
            </w:r>
          </w:p>
        </w:tc>
        <w:tc>
          <w:tcPr>
            <w:tcW w:w="1795" w:type="dxa"/>
            <w:vAlign w:val="bottom"/>
          </w:tcPr>
          <w:p w14:paraId="0000043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27.3 / 16.9</w:t>
            </w:r>
          </w:p>
        </w:tc>
        <w:tc>
          <w:tcPr>
            <w:tcW w:w="1795" w:type="dxa"/>
            <w:vAlign w:val="bottom"/>
          </w:tcPr>
          <w:p w14:paraId="0000043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18.2 / 11.3</w:t>
            </w:r>
          </w:p>
        </w:tc>
        <w:tc>
          <w:tcPr>
            <w:tcW w:w="1796" w:type="dxa"/>
            <w:vAlign w:val="bottom"/>
          </w:tcPr>
          <w:p w14:paraId="0000043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9.1 / 5.6</w:t>
            </w:r>
          </w:p>
        </w:tc>
        <w:tc>
          <w:tcPr>
            <w:tcW w:w="851" w:type="dxa"/>
            <w:vAlign w:val="bottom"/>
          </w:tcPr>
          <w:p w14:paraId="0000043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4C32BDF1" w14:textId="77777777">
        <w:trPr>
          <w:trHeight w:val="59"/>
        </w:trPr>
        <w:tc>
          <w:tcPr>
            <w:tcW w:w="1843" w:type="dxa"/>
            <w:shd w:val="clear" w:color="auto" w:fill="auto"/>
            <w:vAlign w:val="center"/>
          </w:tcPr>
          <w:p w14:paraId="0000043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3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1000-1999</w:t>
            </w:r>
          </w:p>
        </w:tc>
        <w:tc>
          <w:tcPr>
            <w:tcW w:w="1795" w:type="dxa"/>
            <w:vAlign w:val="bottom"/>
          </w:tcPr>
          <w:p w14:paraId="0000044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24.9 / 14.8</w:t>
            </w:r>
          </w:p>
        </w:tc>
        <w:tc>
          <w:tcPr>
            <w:tcW w:w="1795" w:type="dxa"/>
            <w:vAlign w:val="bottom"/>
          </w:tcPr>
          <w:p w14:paraId="0000044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16.6 / 9.9</w:t>
            </w:r>
          </w:p>
        </w:tc>
        <w:tc>
          <w:tcPr>
            <w:tcW w:w="1796" w:type="dxa"/>
            <w:vAlign w:val="bottom"/>
          </w:tcPr>
          <w:p w14:paraId="0000044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8.3 / 4.9</w:t>
            </w:r>
          </w:p>
        </w:tc>
        <w:tc>
          <w:tcPr>
            <w:tcW w:w="851" w:type="dxa"/>
            <w:vAlign w:val="bottom"/>
          </w:tcPr>
          <w:p w14:paraId="0000044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51AD9BBE" w14:textId="77777777">
        <w:trPr>
          <w:trHeight w:val="59"/>
        </w:trPr>
        <w:tc>
          <w:tcPr>
            <w:tcW w:w="1843" w:type="dxa"/>
            <w:shd w:val="clear" w:color="auto" w:fill="auto"/>
            <w:vAlign w:val="center"/>
          </w:tcPr>
          <w:p w14:paraId="0000044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4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2000-2999</w:t>
            </w:r>
          </w:p>
        </w:tc>
        <w:tc>
          <w:tcPr>
            <w:tcW w:w="1795" w:type="dxa"/>
            <w:vAlign w:val="bottom"/>
          </w:tcPr>
          <w:p w14:paraId="0000044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19.5 / 10</w:t>
            </w:r>
          </w:p>
        </w:tc>
        <w:tc>
          <w:tcPr>
            <w:tcW w:w="1795" w:type="dxa"/>
            <w:vAlign w:val="bottom"/>
          </w:tcPr>
          <w:p w14:paraId="0000044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 / 6.7</w:t>
            </w:r>
          </w:p>
        </w:tc>
        <w:tc>
          <w:tcPr>
            <w:tcW w:w="1796" w:type="dxa"/>
            <w:vAlign w:val="bottom"/>
          </w:tcPr>
          <w:p w14:paraId="0000044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6.5 / 3.3</w:t>
            </w:r>
          </w:p>
        </w:tc>
        <w:tc>
          <w:tcPr>
            <w:tcW w:w="851" w:type="dxa"/>
            <w:vAlign w:val="bottom"/>
          </w:tcPr>
          <w:p w14:paraId="0000044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0C3CB606" w14:textId="77777777">
        <w:trPr>
          <w:trHeight w:val="91"/>
        </w:trPr>
        <w:tc>
          <w:tcPr>
            <w:tcW w:w="1843" w:type="dxa"/>
            <w:shd w:val="clear" w:color="auto" w:fill="auto"/>
            <w:vAlign w:val="center"/>
          </w:tcPr>
          <w:p w14:paraId="0000044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4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3000-4999</w:t>
            </w:r>
          </w:p>
        </w:tc>
        <w:tc>
          <w:tcPr>
            <w:tcW w:w="1795" w:type="dxa"/>
            <w:vAlign w:val="bottom"/>
          </w:tcPr>
          <w:p w14:paraId="0000044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16.8 / 8.3</w:t>
            </w:r>
          </w:p>
        </w:tc>
        <w:tc>
          <w:tcPr>
            <w:tcW w:w="1795" w:type="dxa"/>
            <w:vAlign w:val="bottom"/>
          </w:tcPr>
          <w:p w14:paraId="0000044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11.2 / 5.5</w:t>
            </w:r>
          </w:p>
        </w:tc>
        <w:tc>
          <w:tcPr>
            <w:tcW w:w="1796" w:type="dxa"/>
            <w:vAlign w:val="bottom"/>
          </w:tcPr>
          <w:p w14:paraId="0000044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5.6 / 2.8</w:t>
            </w:r>
          </w:p>
        </w:tc>
        <w:tc>
          <w:tcPr>
            <w:tcW w:w="851" w:type="dxa"/>
            <w:vAlign w:val="bottom"/>
          </w:tcPr>
          <w:p w14:paraId="0000044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01FAA2C" w14:textId="77777777">
        <w:trPr>
          <w:trHeight w:val="140"/>
        </w:trPr>
        <w:tc>
          <w:tcPr>
            <w:tcW w:w="1843" w:type="dxa"/>
            <w:shd w:val="clear" w:color="auto" w:fill="auto"/>
            <w:vAlign w:val="center"/>
          </w:tcPr>
          <w:p w14:paraId="0000045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5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5000-7999</w:t>
            </w:r>
          </w:p>
        </w:tc>
        <w:tc>
          <w:tcPr>
            <w:tcW w:w="1795" w:type="dxa"/>
            <w:vAlign w:val="bottom"/>
          </w:tcPr>
          <w:p w14:paraId="0000045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16.2 / 7.8</w:t>
            </w:r>
          </w:p>
        </w:tc>
        <w:tc>
          <w:tcPr>
            <w:tcW w:w="1795" w:type="dxa"/>
            <w:vAlign w:val="bottom"/>
          </w:tcPr>
          <w:p w14:paraId="0000045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10.8 / 5.2</w:t>
            </w:r>
          </w:p>
        </w:tc>
        <w:tc>
          <w:tcPr>
            <w:tcW w:w="1796" w:type="dxa"/>
            <w:vAlign w:val="bottom"/>
          </w:tcPr>
          <w:p w14:paraId="0000045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5.4 / 2.6</w:t>
            </w:r>
          </w:p>
        </w:tc>
        <w:tc>
          <w:tcPr>
            <w:tcW w:w="851" w:type="dxa"/>
            <w:vAlign w:val="bottom"/>
          </w:tcPr>
          <w:p w14:paraId="0000045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29D010FC" w14:textId="77777777">
        <w:trPr>
          <w:trHeight w:val="59"/>
        </w:trPr>
        <w:tc>
          <w:tcPr>
            <w:tcW w:w="1843" w:type="dxa"/>
            <w:shd w:val="clear" w:color="auto" w:fill="auto"/>
            <w:vAlign w:val="center"/>
          </w:tcPr>
          <w:p w14:paraId="0000045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5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8000-11999</w:t>
            </w:r>
          </w:p>
        </w:tc>
        <w:tc>
          <w:tcPr>
            <w:tcW w:w="1795" w:type="dxa"/>
            <w:vAlign w:val="bottom"/>
          </w:tcPr>
          <w:p w14:paraId="0000045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14.1 / 6.7</w:t>
            </w:r>
          </w:p>
        </w:tc>
        <w:tc>
          <w:tcPr>
            <w:tcW w:w="1795" w:type="dxa"/>
            <w:vAlign w:val="bottom"/>
          </w:tcPr>
          <w:p w14:paraId="0000045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9.4 / 4.5</w:t>
            </w:r>
          </w:p>
        </w:tc>
        <w:tc>
          <w:tcPr>
            <w:tcW w:w="1796" w:type="dxa"/>
            <w:vAlign w:val="bottom"/>
          </w:tcPr>
          <w:p w14:paraId="0000045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4.7 / 2.2</w:t>
            </w:r>
          </w:p>
        </w:tc>
        <w:tc>
          <w:tcPr>
            <w:tcW w:w="851" w:type="dxa"/>
            <w:vAlign w:val="bottom"/>
          </w:tcPr>
          <w:p w14:paraId="0000045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2E285376" w14:textId="77777777">
        <w:trPr>
          <w:trHeight w:val="59"/>
        </w:trPr>
        <w:tc>
          <w:tcPr>
            <w:tcW w:w="1843" w:type="dxa"/>
            <w:shd w:val="clear" w:color="auto" w:fill="auto"/>
            <w:vAlign w:val="center"/>
          </w:tcPr>
          <w:p w14:paraId="0000045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Container</w:t>
            </w:r>
          </w:p>
        </w:tc>
        <w:tc>
          <w:tcPr>
            <w:tcW w:w="1843" w:type="dxa"/>
            <w:shd w:val="clear" w:color="auto" w:fill="auto"/>
            <w:vAlign w:val="center"/>
          </w:tcPr>
          <w:p w14:paraId="0000045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12000-14500</w:t>
            </w:r>
          </w:p>
        </w:tc>
        <w:tc>
          <w:tcPr>
            <w:tcW w:w="1795" w:type="dxa"/>
            <w:vAlign w:val="bottom"/>
          </w:tcPr>
          <w:p w14:paraId="0000045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10.4 / 4.6</w:t>
            </w:r>
          </w:p>
        </w:tc>
        <w:tc>
          <w:tcPr>
            <w:tcW w:w="1795" w:type="dxa"/>
            <w:vAlign w:val="bottom"/>
          </w:tcPr>
          <w:p w14:paraId="0000045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6.9 / 3.1</w:t>
            </w:r>
          </w:p>
        </w:tc>
        <w:tc>
          <w:tcPr>
            <w:tcW w:w="1796" w:type="dxa"/>
            <w:vAlign w:val="bottom"/>
          </w:tcPr>
          <w:p w14:paraId="0000046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3.5 / 1.5</w:t>
            </w:r>
          </w:p>
        </w:tc>
        <w:tc>
          <w:tcPr>
            <w:tcW w:w="851" w:type="dxa"/>
            <w:vAlign w:val="bottom"/>
          </w:tcPr>
          <w:p w14:paraId="0000046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5C16AD62" w14:textId="77777777">
        <w:trPr>
          <w:trHeight w:val="104"/>
        </w:trPr>
        <w:tc>
          <w:tcPr>
            <w:tcW w:w="1843" w:type="dxa"/>
            <w:shd w:val="clear" w:color="auto" w:fill="auto"/>
            <w:vAlign w:val="center"/>
          </w:tcPr>
          <w:p w14:paraId="00000462" w14:textId="77777777" w:rsidR="001E40A1" w:rsidRDefault="007A0446">
            <w:pPr>
              <w:rPr>
                <w:rFonts w:ascii="Calibri" w:eastAsia="Calibri" w:hAnsi="Calibri" w:cs="Calibri"/>
              </w:rPr>
            </w:pPr>
            <w:r>
              <w:rPr>
                <w:rFonts w:ascii="Calibri" w:eastAsia="Calibri" w:hAnsi="Calibri" w:cs="Calibri"/>
              </w:rPr>
              <w:t>Container</w:t>
            </w:r>
          </w:p>
        </w:tc>
        <w:tc>
          <w:tcPr>
            <w:tcW w:w="1843" w:type="dxa"/>
            <w:shd w:val="clear" w:color="auto" w:fill="auto"/>
            <w:vAlign w:val="center"/>
          </w:tcPr>
          <w:p w14:paraId="00000463" w14:textId="77777777" w:rsidR="001E40A1" w:rsidRDefault="007A0446">
            <w:pPr>
              <w:rPr>
                <w:rFonts w:ascii="Calibri" w:eastAsia="Calibri" w:hAnsi="Calibri" w:cs="Calibri"/>
              </w:rPr>
            </w:pPr>
            <w:r>
              <w:rPr>
                <w:rFonts w:ascii="Calibri" w:eastAsia="Calibri" w:hAnsi="Calibri" w:cs="Calibri"/>
              </w:rPr>
              <w:t>14500-+</w:t>
            </w:r>
          </w:p>
        </w:tc>
        <w:tc>
          <w:tcPr>
            <w:tcW w:w="1795" w:type="dxa"/>
            <w:vAlign w:val="bottom"/>
          </w:tcPr>
          <w:p w14:paraId="00000464" w14:textId="77777777" w:rsidR="001E40A1" w:rsidRDefault="007A0446">
            <w:pPr>
              <w:jc w:val="center"/>
              <w:rPr>
                <w:rFonts w:ascii="Calibri" w:eastAsia="Calibri" w:hAnsi="Calibri" w:cs="Calibri"/>
              </w:rPr>
            </w:pPr>
            <w:r>
              <w:rPr>
                <w:rFonts w:ascii="Calibri" w:eastAsia="Calibri" w:hAnsi="Calibri" w:cs="Calibri"/>
              </w:rPr>
              <w:t>10.4 / 4.6</w:t>
            </w:r>
          </w:p>
        </w:tc>
        <w:tc>
          <w:tcPr>
            <w:tcW w:w="1795" w:type="dxa"/>
            <w:vAlign w:val="bottom"/>
          </w:tcPr>
          <w:p w14:paraId="00000465" w14:textId="77777777" w:rsidR="001E40A1" w:rsidRDefault="007A0446">
            <w:pPr>
              <w:jc w:val="center"/>
              <w:rPr>
                <w:rFonts w:ascii="Calibri" w:eastAsia="Calibri" w:hAnsi="Calibri" w:cs="Calibri"/>
              </w:rPr>
            </w:pPr>
            <w:r>
              <w:rPr>
                <w:rFonts w:ascii="Calibri" w:eastAsia="Calibri" w:hAnsi="Calibri" w:cs="Calibri"/>
              </w:rPr>
              <w:t>6.9 / 3.1</w:t>
            </w:r>
          </w:p>
        </w:tc>
        <w:tc>
          <w:tcPr>
            <w:tcW w:w="1796" w:type="dxa"/>
            <w:vAlign w:val="bottom"/>
          </w:tcPr>
          <w:p w14:paraId="00000466" w14:textId="77777777" w:rsidR="001E40A1" w:rsidRDefault="007A0446">
            <w:pPr>
              <w:jc w:val="center"/>
              <w:rPr>
                <w:rFonts w:ascii="Calibri" w:eastAsia="Calibri" w:hAnsi="Calibri" w:cs="Calibri"/>
              </w:rPr>
            </w:pPr>
            <w:r>
              <w:rPr>
                <w:rFonts w:ascii="Calibri" w:eastAsia="Calibri" w:hAnsi="Calibri" w:cs="Calibri"/>
              </w:rPr>
              <w:t>3.5 / 1.5</w:t>
            </w:r>
          </w:p>
        </w:tc>
        <w:tc>
          <w:tcPr>
            <w:tcW w:w="851" w:type="dxa"/>
            <w:vAlign w:val="bottom"/>
          </w:tcPr>
          <w:p w14:paraId="00000467" w14:textId="77777777" w:rsidR="001E40A1" w:rsidRDefault="007A0446">
            <w:pPr>
              <w:jc w:val="center"/>
              <w:rPr>
                <w:rFonts w:ascii="Calibri" w:eastAsia="Calibri" w:hAnsi="Calibri" w:cs="Calibri"/>
              </w:rPr>
            </w:pPr>
            <w:r>
              <w:rPr>
                <w:rFonts w:ascii="Calibri" w:eastAsia="Calibri" w:hAnsi="Calibri" w:cs="Calibri"/>
              </w:rPr>
              <w:t>0</w:t>
            </w:r>
          </w:p>
        </w:tc>
      </w:tr>
      <w:tr w:rsidR="001E40A1" w14:paraId="6D06686F" w14:textId="77777777">
        <w:trPr>
          <w:trHeight w:val="59"/>
        </w:trPr>
        <w:tc>
          <w:tcPr>
            <w:tcW w:w="1843" w:type="dxa"/>
            <w:shd w:val="clear" w:color="auto" w:fill="auto"/>
            <w:vAlign w:val="center"/>
          </w:tcPr>
          <w:p w14:paraId="0000046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cargo</w:t>
            </w:r>
          </w:p>
        </w:tc>
        <w:tc>
          <w:tcPr>
            <w:tcW w:w="1843" w:type="dxa"/>
            <w:shd w:val="clear" w:color="auto" w:fill="auto"/>
            <w:vAlign w:val="center"/>
          </w:tcPr>
          <w:p w14:paraId="0000046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0-4999</w:t>
            </w:r>
          </w:p>
        </w:tc>
        <w:tc>
          <w:tcPr>
            <w:tcW w:w="1795" w:type="dxa"/>
            <w:vAlign w:val="bottom"/>
          </w:tcPr>
          <w:p w14:paraId="0000046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30.2 / 24.2</w:t>
            </w:r>
          </w:p>
        </w:tc>
        <w:tc>
          <w:tcPr>
            <w:tcW w:w="1795" w:type="dxa"/>
            <w:vAlign w:val="bottom"/>
          </w:tcPr>
          <w:p w14:paraId="0000046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20.1 / 16.1</w:t>
            </w:r>
          </w:p>
        </w:tc>
        <w:tc>
          <w:tcPr>
            <w:tcW w:w="1796" w:type="dxa"/>
            <w:vAlign w:val="bottom"/>
          </w:tcPr>
          <w:p w14:paraId="0000046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10.1 / 8.1</w:t>
            </w:r>
          </w:p>
        </w:tc>
        <w:tc>
          <w:tcPr>
            <w:tcW w:w="851" w:type="dxa"/>
            <w:vAlign w:val="bottom"/>
          </w:tcPr>
          <w:p w14:paraId="0000046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29E15061" w14:textId="77777777">
        <w:trPr>
          <w:trHeight w:val="59"/>
        </w:trPr>
        <w:tc>
          <w:tcPr>
            <w:tcW w:w="1843" w:type="dxa"/>
            <w:shd w:val="clear" w:color="auto" w:fill="auto"/>
            <w:vAlign w:val="center"/>
          </w:tcPr>
          <w:p w14:paraId="0000046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cargo</w:t>
            </w:r>
          </w:p>
        </w:tc>
        <w:tc>
          <w:tcPr>
            <w:tcW w:w="1843" w:type="dxa"/>
            <w:shd w:val="clear" w:color="auto" w:fill="auto"/>
            <w:vAlign w:val="center"/>
          </w:tcPr>
          <w:p w14:paraId="0000046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5000-9999</w:t>
            </w:r>
          </w:p>
        </w:tc>
        <w:tc>
          <w:tcPr>
            <w:tcW w:w="1795" w:type="dxa"/>
            <w:vAlign w:val="bottom"/>
          </w:tcPr>
          <w:p w14:paraId="0000047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27.2 / 16.7</w:t>
            </w:r>
          </w:p>
        </w:tc>
        <w:tc>
          <w:tcPr>
            <w:tcW w:w="1795" w:type="dxa"/>
            <w:vAlign w:val="bottom"/>
          </w:tcPr>
          <w:p w14:paraId="0000047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18.2 / 11.1</w:t>
            </w:r>
          </w:p>
        </w:tc>
        <w:tc>
          <w:tcPr>
            <w:tcW w:w="1796" w:type="dxa"/>
            <w:vAlign w:val="bottom"/>
          </w:tcPr>
          <w:p w14:paraId="0000047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9.1 / 5.6</w:t>
            </w:r>
          </w:p>
        </w:tc>
        <w:tc>
          <w:tcPr>
            <w:tcW w:w="851" w:type="dxa"/>
            <w:vAlign w:val="bottom"/>
          </w:tcPr>
          <w:p w14:paraId="0000047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43D55C00" w14:textId="77777777">
        <w:trPr>
          <w:trHeight w:val="59"/>
        </w:trPr>
        <w:tc>
          <w:tcPr>
            <w:tcW w:w="1843" w:type="dxa"/>
            <w:shd w:val="clear" w:color="auto" w:fill="auto"/>
            <w:vAlign w:val="center"/>
          </w:tcPr>
          <w:p w14:paraId="0000047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 cargo</w:t>
            </w:r>
          </w:p>
        </w:tc>
        <w:tc>
          <w:tcPr>
            <w:tcW w:w="1843" w:type="dxa"/>
            <w:shd w:val="clear" w:color="auto" w:fill="auto"/>
            <w:vAlign w:val="center"/>
          </w:tcPr>
          <w:p w14:paraId="0000047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w:t>
            </w:r>
          </w:p>
        </w:tc>
        <w:tc>
          <w:tcPr>
            <w:tcW w:w="1795" w:type="dxa"/>
            <w:vAlign w:val="bottom"/>
          </w:tcPr>
          <w:p w14:paraId="0000047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24.2 / 13.1</w:t>
            </w:r>
          </w:p>
        </w:tc>
        <w:tc>
          <w:tcPr>
            <w:tcW w:w="1795" w:type="dxa"/>
            <w:vAlign w:val="bottom"/>
          </w:tcPr>
          <w:p w14:paraId="0000047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16.2 / 8.8</w:t>
            </w:r>
          </w:p>
        </w:tc>
        <w:tc>
          <w:tcPr>
            <w:tcW w:w="1796" w:type="dxa"/>
            <w:vAlign w:val="bottom"/>
          </w:tcPr>
          <w:p w14:paraId="0000047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8.1 / 4.4</w:t>
            </w:r>
          </w:p>
        </w:tc>
        <w:tc>
          <w:tcPr>
            <w:tcW w:w="851" w:type="dxa"/>
            <w:vAlign w:val="bottom"/>
          </w:tcPr>
          <w:p w14:paraId="0000047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6B373FC4" w14:textId="77777777">
        <w:trPr>
          <w:trHeight w:val="59"/>
        </w:trPr>
        <w:tc>
          <w:tcPr>
            <w:tcW w:w="1843" w:type="dxa"/>
            <w:shd w:val="clear" w:color="auto" w:fill="auto"/>
            <w:vAlign w:val="center"/>
          </w:tcPr>
          <w:p w14:paraId="0000047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 liquid tanker</w:t>
            </w:r>
          </w:p>
        </w:tc>
        <w:tc>
          <w:tcPr>
            <w:tcW w:w="1843" w:type="dxa"/>
            <w:shd w:val="clear" w:color="auto" w:fill="auto"/>
            <w:vAlign w:val="center"/>
          </w:tcPr>
          <w:p w14:paraId="0000047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w:t>
            </w:r>
          </w:p>
        </w:tc>
        <w:tc>
          <w:tcPr>
            <w:tcW w:w="1795" w:type="dxa"/>
            <w:vAlign w:val="bottom"/>
          </w:tcPr>
          <w:p w14:paraId="0000047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106.6/ 97.6</w:t>
            </w:r>
          </w:p>
        </w:tc>
        <w:tc>
          <w:tcPr>
            <w:tcW w:w="1795" w:type="dxa"/>
            <w:vAlign w:val="bottom"/>
          </w:tcPr>
          <w:p w14:paraId="0000047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71.1 / 65.1</w:t>
            </w:r>
          </w:p>
        </w:tc>
        <w:tc>
          <w:tcPr>
            <w:tcW w:w="1796" w:type="dxa"/>
            <w:vAlign w:val="bottom"/>
          </w:tcPr>
          <w:p w14:paraId="0000047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35.5 / 32.5</w:t>
            </w:r>
          </w:p>
        </w:tc>
        <w:tc>
          <w:tcPr>
            <w:tcW w:w="851" w:type="dxa"/>
            <w:vAlign w:val="bottom"/>
          </w:tcPr>
          <w:p w14:paraId="0000047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41964541" w14:textId="77777777">
        <w:trPr>
          <w:trHeight w:val="59"/>
        </w:trPr>
        <w:tc>
          <w:tcPr>
            <w:tcW w:w="1843" w:type="dxa"/>
            <w:shd w:val="clear" w:color="auto" w:fill="FCE4D6"/>
            <w:vAlign w:val="center"/>
          </w:tcPr>
          <w:p w14:paraId="0000048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Ferry-pax only*</w:t>
            </w:r>
          </w:p>
        </w:tc>
        <w:tc>
          <w:tcPr>
            <w:tcW w:w="1843" w:type="dxa"/>
            <w:shd w:val="clear" w:color="auto" w:fill="auto"/>
            <w:vAlign w:val="center"/>
          </w:tcPr>
          <w:p w14:paraId="0000048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795" w:type="dxa"/>
            <w:vAlign w:val="bottom"/>
          </w:tcPr>
          <w:p w14:paraId="0000048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1272135.8</w:t>
            </w:r>
          </w:p>
        </w:tc>
        <w:tc>
          <w:tcPr>
            <w:tcW w:w="1795" w:type="dxa"/>
            <w:vAlign w:val="bottom"/>
          </w:tcPr>
          <w:p w14:paraId="0000048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848090.5</w:t>
            </w:r>
          </w:p>
        </w:tc>
        <w:tc>
          <w:tcPr>
            <w:tcW w:w="1796" w:type="dxa"/>
            <w:vAlign w:val="bottom"/>
          </w:tcPr>
          <w:p w14:paraId="0000048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424045.3</w:t>
            </w:r>
          </w:p>
        </w:tc>
        <w:tc>
          <w:tcPr>
            <w:tcW w:w="851" w:type="dxa"/>
            <w:vAlign w:val="bottom"/>
          </w:tcPr>
          <w:p w14:paraId="0000048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3CEB9C9D" w14:textId="77777777">
        <w:trPr>
          <w:trHeight w:val="59"/>
        </w:trPr>
        <w:tc>
          <w:tcPr>
            <w:tcW w:w="1843" w:type="dxa"/>
            <w:shd w:val="clear" w:color="auto" w:fill="FCE4D6"/>
            <w:vAlign w:val="center"/>
          </w:tcPr>
          <w:p w14:paraId="0000048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Ferry-pax only*</w:t>
            </w:r>
          </w:p>
        </w:tc>
        <w:tc>
          <w:tcPr>
            <w:tcW w:w="1843" w:type="dxa"/>
            <w:shd w:val="clear" w:color="auto" w:fill="auto"/>
            <w:vAlign w:val="center"/>
          </w:tcPr>
          <w:p w14:paraId="0000048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w:t>
            </w:r>
          </w:p>
        </w:tc>
        <w:tc>
          <w:tcPr>
            <w:tcW w:w="1795" w:type="dxa"/>
            <w:vAlign w:val="bottom"/>
          </w:tcPr>
          <w:p w14:paraId="0000048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1740606.6</w:t>
            </w:r>
          </w:p>
        </w:tc>
        <w:tc>
          <w:tcPr>
            <w:tcW w:w="1795" w:type="dxa"/>
            <w:vAlign w:val="bottom"/>
          </w:tcPr>
          <w:p w14:paraId="0000048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1160404.4</w:t>
            </w:r>
          </w:p>
        </w:tc>
        <w:tc>
          <w:tcPr>
            <w:tcW w:w="1796" w:type="dxa"/>
            <w:vAlign w:val="bottom"/>
          </w:tcPr>
          <w:p w14:paraId="0000048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580202.2</w:t>
            </w:r>
          </w:p>
        </w:tc>
        <w:tc>
          <w:tcPr>
            <w:tcW w:w="851" w:type="dxa"/>
            <w:vAlign w:val="bottom"/>
          </w:tcPr>
          <w:p w14:paraId="0000048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35E4103F" w14:textId="77777777">
        <w:trPr>
          <w:trHeight w:val="59"/>
        </w:trPr>
        <w:tc>
          <w:tcPr>
            <w:tcW w:w="1843" w:type="dxa"/>
            <w:shd w:val="clear" w:color="auto" w:fill="FCE4D6"/>
            <w:vAlign w:val="center"/>
          </w:tcPr>
          <w:p w14:paraId="0000048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843" w:type="dxa"/>
            <w:shd w:val="clear" w:color="auto" w:fill="auto"/>
            <w:vAlign w:val="center"/>
          </w:tcPr>
          <w:p w14:paraId="0000048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795" w:type="dxa"/>
            <w:vAlign w:val="bottom"/>
          </w:tcPr>
          <w:p w14:paraId="0000048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2044403.4</w:t>
            </w:r>
          </w:p>
        </w:tc>
        <w:tc>
          <w:tcPr>
            <w:tcW w:w="1795" w:type="dxa"/>
            <w:vAlign w:val="bottom"/>
          </w:tcPr>
          <w:p w14:paraId="0000048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1362935.6</w:t>
            </w:r>
          </w:p>
        </w:tc>
        <w:tc>
          <w:tcPr>
            <w:tcW w:w="1796" w:type="dxa"/>
            <w:vAlign w:val="bottom"/>
          </w:tcPr>
          <w:p w14:paraId="0000049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681467.8</w:t>
            </w:r>
          </w:p>
        </w:tc>
        <w:tc>
          <w:tcPr>
            <w:tcW w:w="851" w:type="dxa"/>
            <w:vAlign w:val="bottom"/>
          </w:tcPr>
          <w:p w14:paraId="0000049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0950193B" w14:textId="77777777">
        <w:trPr>
          <w:trHeight w:val="59"/>
        </w:trPr>
        <w:tc>
          <w:tcPr>
            <w:tcW w:w="1843" w:type="dxa"/>
            <w:shd w:val="clear" w:color="auto" w:fill="FCE4D6"/>
            <w:vAlign w:val="center"/>
          </w:tcPr>
          <w:p w14:paraId="0000049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843" w:type="dxa"/>
            <w:shd w:val="clear" w:color="auto" w:fill="auto"/>
            <w:vAlign w:val="center"/>
          </w:tcPr>
          <w:p w14:paraId="0000049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2000-9999</w:t>
            </w:r>
          </w:p>
        </w:tc>
        <w:tc>
          <w:tcPr>
            <w:tcW w:w="1795" w:type="dxa"/>
            <w:vAlign w:val="bottom"/>
          </w:tcPr>
          <w:p w14:paraId="0000049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1286641.3</w:t>
            </w:r>
          </w:p>
        </w:tc>
        <w:tc>
          <w:tcPr>
            <w:tcW w:w="1795" w:type="dxa"/>
            <w:vAlign w:val="bottom"/>
          </w:tcPr>
          <w:p w14:paraId="0000049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857760.8</w:t>
            </w:r>
          </w:p>
        </w:tc>
        <w:tc>
          <w:tcPr>
            <w:tcW w:w="1796" w:type="dxa"/>
            <w:vAlign w:val="bottom"/>
          </w:tcPr>
          <w:p w14:paraId="0000049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428880.4</w:t>
            </w:r>
          </w:p>
        </w:tc>
        <w:tc>
          <w:tcPr>
            <w:tcW w:w="851" w:type="dxa"/>
            <w:vAlign w:val="bottom"/>
          </w:tcPr>
          <w:p w14:paraId="0000049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60E4A5D4" w14:textId="77777777">
        <w:trPr>
          <w:trHeight w:val="59"/>
        </w:trPr>
        <w:tc>
          <w:tcPr>
            <w:tcW w:w="1843" w:type="dxa"/>
            <w:shd w:val="clear" w:color="auto" w:fill="FCE4D6"/>
            <w:vAlign w:val="center"/>
          </w:tcPr>
          <w:p w14:paraId="0000049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843" w:type="dxa"/>
            <w:shd w:val="clear" w:color="auto" w:fill="auto"/>
            <w:vAlign w:val="center"/>
          </w:tcPr>
          <w:p w14:paraId="0000049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10000-59999</w:t>
            </w:r>
          </w:p>
        </w:tc>
        <w:tc>
          <w:tcPr>
            <w:tcW w:w="1795" w:type="dxa"/>
            <w:vAlign w:val="bottom"/>
          </w:tcPr>
          <w:p w14:paraId="0000049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1495064.7</w:t>
            </w:r>
          </w:p>
        </w:tc>
        <w:tc>
          <w:tcPr>
            <w:tcW w:w="1795" w:type="dxa"/>
            <w:vAlign w:val="bottom"/>
          </w:tcPr>
          <w:p w14:paraId="0000049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996709.8</w:t>
            </w:r>
          </w:p>
        </w:tc>
        <w:tc>
          <w:tcPr>
            <w:tcW w:w="1796" w:type="dxa"/>
            <w:vAlign w:val="bottom"/>
          </w:tcPr>
          <w:p w14:paraId="0000049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498354.9</w:t>
            </w:r>
          </w:p>
        </w:tc>
        <w:tc>
          <w:tcPr>
            <w:tcW w:w="851" w:type="dxa"/>
            <w:vAlign w:val="bottom"/>
          </w:tcPr>
          <w:p w14:paraId="0000049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3EBA951A" w14:textId="77777777">
        <w:trPr>
          <w:trHeight w:val="59"/>
        </w:trPr>
        <w:tc>
          <w:tcPr>
            <w:tcW w:w="1843" w:type="dxa"/>
            <w:shd w:val="clear" w:color="auto" w:fill="FCE4D6"/>
            <w:vAlign w:val="center"/>
          </w:tcPr>
          <w:p w14:paraId="0000049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843" w:type="dxa"/>
            <w:shd w:val="clear" w:color="auto" w:fill="auto"/>
            <w:vAlign w:val="center"/>
          </w:tcPr>
          <w:p w14:paraId="0000049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60000-99999</w:t>
            </w:r>
          </w:p>
        </w:tc>
        <w:tc>
          <w:tcPr>
            <w:tcW w:w="1795" w:type="dxa"/>
            <w:vAlign w:val="bottom"/>
          </w:tcPr>
          <w:p w14:paraId="000004A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1738613.6</w:t>
            </w:r>
          </w:p>
        </w:tc>
        <w:tc>
          <w:tcPr>
            <w:tcW w:w="1795" w:type="dxa"/>
            <w:vAlign w:val="bottom"/>
          </w:tcPr>
          <w:p w14:paraId="000004A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1159075.7</w:t>
            </w:r>
          </w:p>
        </w:tc>
        <w:tc>
          <w:tcPr>
            <w:tcW w:w="1796" w:type="dxa"/>
            <w:vAlign w:val="bottom"/>
          </w:tcPr>
          <w:p w14:paraId="000004A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579537.9</w:t>
            </w:r>
          </w:p>
        </w:tc>
        <w:tc>
          <w:tcPr>
            <w:tcW w:w="851" w:type="dxa"/>
            <w:vAlign w:val="bottom"/>
          </w:tcPr>
          <w:p w14:paraId="000004A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6F6CD2E" w14:textId="77777777">
        <w:trPr>
          <w:trHeight w:val="59"/>
        </w:trPr>
        <w:tc>
          <w:tcPr>
            <w:tcW w:w="1843" w:type="dxa"/>
            <w:shd w:val="clear" w:color="auto" w:fill="FCE4D6"/>
            <w:vAlign w:val="center"/>
          </w:tcPr>
          <w:p w14:paraId="000004A4"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Cruise*</w:t>
            </w:r>
          </w:p>
        </w:tc>
        <w:tc>
          <w:tcPr>
            <w:tcW w:w="1843" w:type="dxa"/>
            <w:shd w:val="clear" w:color="auto" w:fill="auto"/>
            <w:vAlign w:val="center"/>
          </w:tcPr>
          <w:p w14:paraId="000004A5"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100000-+</w:t>
            </w:r>
          </w:p>
        </w:tc>
        <w:tc>
          <w:tcPr>
            <w:tcW w:w="1795" w:type="dxa"/>
            <w:vAlign w:val="bottom"/>
          </w:tcPr>
          <w:p w14:paraId="000004A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1337274.9</w:t>
            </w:r>
          </w:p>
        </w:tc>
        <w:tc>
          <w:tcPr>
            <w:tcW w:w="1795" w:type="dxa"/>
            <w:vAlign w:val="bottom"/>
          </w:tcPr>
          <w:p w14:paraId="000004A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891516.6</w:t>
            </w:r>
          </w:p>
        </w:tc>
        <w:tc>
          <w:tcPr>
            <w:tcW w:w="1796" w:type="dxa"/>
            <w:vAlign w:val="bottom"/>
          </w:tcPr>
          <w:p w14:paraId="000004A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445758.3</w:t>
            </w:r>
          </w:p>
        </w:tc>
        <w:tc>
          <w:tcPr>
            <w:tcW w:w="851" w:type="dxa"/>
            <w:vAlign w:val="bottom"/>
          </w:tcPr>
          <w:p w14:paraId="000004A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52A232C" w14:textId="77777777">
        <w:trPr>
          <w:trHeight w:val="59"/>
        </w:trPr>
        <w:tc>
          <w:tcPr>
            <w:tcW w:w="1843" w:type="dxa"/>
            <w:shd w:val="clear" w:color="auto" w:fill="FCE4D6"/>
            <w:vAlign w:val="center"/>
          </w:tcPr>
          <w:p w14:paraId="000004AA"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Ferry-RoPax*</w:t>
            </w:r>
          </w:p>
        </w:tc>
        <w:tc>
          <w:tcPr>
            <w:tcW w:w="1843" w:type="dxa"/>
            <w:shd w:val="clear" w:color="auto" w:fill="auto"/>
            <w:vAlign w:val="center"/>
          </w:tcPr>
          <w:p w14:paraId="000004AB"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795" w:type="dxa"/>
            <w:vAlign w:val="bottom"/>
          </w:tcPr>
          <w:p w14:paraId="000004A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822123.9</w:t>
            </w:r>
          </w:p>
        </w:tc>
        <w:tc>
          <w:tcPr>
            <w:tcW w:w="1795" w:type="dxa"/>
            <w:vAlign w:val="bottom"/>
          </w:tcPr>
          <w:p w14:paraId="000004A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548082.6</w:t>
            </w:r>
          </w:p>
        </w:tc>
        <w:tc>
          <w:tcPr>
            <w:tcW w:w="1796" w:type="dxa"/>
            <w:vAlign w:val="bottom"/>
          </w:tcPr>
          <w:p w14:paraId="000004A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274041.3</w:t>
            </w:r>
          </w:p>
        </w:tc>
        <w:tc>
          <w:tcPr>
            <w:tcW w:w="851" w:type="dxa"/>
            <w:vAlign w:val="bottom"/>
          </w:tcPr>
          <w:p w14:paraId="000004A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0C941113" w14:textId="77777777">
        <w:trPr>
          <w:trHeight w:val="59"/>
        </w:trPr>
        <w:tc>
          <w:tcPr>
            <w:tcW w:w="1843" w:type="dxa"/>
            <w:shd w:val="clear" w:color="auto" w:fill="FCE4D6"/>
            <w:vAlign w:val="center"/>
          </w:tcPr>
          <w:p w14:paraId="000004B0"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Ferry-RoPax*</w:t>
            </w:r>
          </w:p>
        </w:tc>
        <w:tc>
          <w:tcPr>
            <w:tcW w:w="1843" w:type="dxa"/>
            <w:shd w:val="clear" w:color="auto" w:fill="auto"/>
            <w:vAlign w:val="center"/>
          </w:tcPr>
          <w:p w14:paraId="000004B1"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2000-+</w:t>
            </w:r>
          </w:p>
        </w:tc>
        <w:tc>
          <w:tcPr>
            <w:tcW w:w="1795" w:type="dxa"/>
            <w:vAlign w:val="bottom"/>
          </w:tcPr>
          <w:p w14:paraId="000004B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1137003.8</w:t>
            </w:r>
          </w:p>
        </w:tc>
        <w:tc>
          <w:tcPr>
            <w:tcW w:w="1795" w:type="dxa"/>
            <w:vAlign w:val="bottom"/>
          </w:tcPr>
          <w:p w14:paraId="000004B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758002.5</w:t>
            </w:r>
          </w:p>
        </w:tc>
        <w:tc>
          <w:tcPr>
            <w:tcW w:w="1796" w:type="dxa"/>
            <w:vAlign w:val="bottom"/>
          </w:tcPr>
          <w:p w14:paraId="000004B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379001.3</w:t>
            </w:r>
          </w:p>
        </w:tc>
        <w:tc>
          <w:tcPr>
            <w:tcW w:w="851" w:type="dxa"/>
            <w:vAlign w:val="bottom"/>
          </w:tcPr>
          <w:p w14:paraId="000004B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275FC153" w14:textId="77777777">
        <w:trPr>
          <w:trHeight w:val="59"/>
        </w:trPr>
        <w:tc>
          <w:tcPr>
            <w:tcW w:w="1843" w:type="dxa"/>
            <w:shd w:val="clear" w:color="auto" w:fill="auto"/>
            <w:vAlign w:val="center"/>
          </w:tcPr>
          <w:p w14:paraId="000004B6"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Refrigerated bulk</w:t>
            </w:r>
          </w:p>
        </w:tc>
        <w:tc>
          <w:tcPr>
            <w:tcW w:w="1843" w:type="dxa"/>
            <w:shd w:val="clear" w:color="auto" w:fill="auto"/>
            <w:vAlign w:val="center"/>
          </w:tcPr>
          <w:p w14:paraId="000004B7"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0-1999</w:t>
            </w:r>
          </w:p>
        </w:tc>
        <w:tc>
          <w:tcPr>
            <w:tcW w:w="1795" w:type="dxa"/>
            <w:vAlign w:val="bottom"/>
          </w:tcPr>
          <w:p w14:paraId="000004B8"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72.8 / 48.7</w:t>
            </w:r>
          </w:p>
        </w:tc>
        <w:tc>
          <w:tcPr>
            <w:tcW w:w="1795" w:type="dxa"/>
            <w:vAlign w:val="bottom"/>
          </w:tcPr>
          <w:p w14:paraId="000004B9"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48.5 / 32.5</w:t>
            </w:r>
          </w:p>
        </w:tc>
        <w:tc>
          <w:tcPr>
            <w:tcW w:w="1796" w:type="dxa"/>
            <w:vAlign w:val="bottom"/>
          </w:tcPr>
          <w:p w14:paraId="000004B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24.3 / 16.2</w:t>
            </w:r>
          </w:p>
        </w:tc>
        <w:tc>
          <w:tcPr>
            <w:tcW w:w="851" w:type="dxa"/>
            <w:vAlign w:val="bottom"/>
          </w:tcPr>
          <w:p w14:paraId="000004B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F884234" w14:textId="77777777">
        <w:trPr>
          <w:trHeight w:val="104"/>
        </w:trPr>
        <w:tc>
          <w:tcPr>
            <w:tcW w:w="1843" w:type="dxa"/>
            <w:shd w:val="clear" w:color="auto" w:fill="auto"/>
            <w:vAlign w:val="center"/>
          </w:tcPr>
          <w:p w14:paraId="000004BC"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Ro-Ro</w:t>
            </w:r>
          </w:p>
        </w:tc>
        <w:tc>
          <w:tcPr>
            <w:tcW w:w="1843" w:type="dxa"/>
            <w:shd w:val="clear" w:color="auto" w:fill="auto"/>
            <w:vAlign w:val="center"/>
          </w:tcPr>
          <w:p w14:paraId="000004BD"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0-4999</w:t>
            </w:r>
          </w:p>
        </w:tc>
        <w:tc>
          <w:tcPr>
            <w:tcW w:w="1795" w:type="dxa"/>
            <w:vAlign w:val="bottom"/>
          </w:tcPr>
          <w:p w14:paraId="000004BE"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258.2 / 212.4</w:t>
            </w:r>
          </w:p>
        </w:tc>
        <w:tc>
          <w:tcPr>
            <w:tcW w:w="1795" w:type="dxa"/>
            <w:vAlign w:val="bottom"/>
          </w:tcPr>
          <w:p w14:paraId="000004BF"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172.1 / 141.6</w:t>
            </w:r>
          </w:p>
        </w:tc>
        <w:tc>
          <w:tcPr>
            <w:tcW w:w="1796" w:type="dxa"/>
            <w:vAlign w:val="bottom"/>
          </w:tcPr>
          <w:p w14:paraId="000004C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86.1 / 70.8</w:t>
            </w:r>
          </w:p>
        </w:tc>
        <w:tc>
          <w:tcPr>
            <w:tcW w:w="851" w:type="dxa"/>
            <w:vAlign w:val="bottom"/>
          </w:tcPr>
          <w:p w14:paraId="000004C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49608F72" w14:textId="77777777">
        <w:trPr>
          <w:trHeight w:val="59"/>
        </w:trPr>
        <w:tc>
          <w:tcPr>
            <w:tcW w:w="1843" w:type="dxa"/>
            <w:shd w:val="clear" w:color="auto" w:fill="auto"/>
            <w:vAlign w:val="center"/>
          </w:tcPr>
          <w:p w14:paraId="000004C2"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Ro-Ro</w:t>
            </w:r>
          </w:p>
        </w:tc>
        <w:tc>
          <w:tcPr>
            <w:tcW w:w="1843" w:type="dxa"/>
            <w:shd w:val="clear" w:color="auto" w:fill="auto"/>
            <w:vAlign w:val="center"/>
          </w:tcPr>
          <w:p w14:paraId="000004C3"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5000-+</w:t>
            </w:r>
          </w:p>
        </w:tc>
        <w:tc>
          <w:tcPr>
            <w:tcW w:w="1795" w:type="dxa"/>
            <w:vAlign w:val="bottom"/>
          </w:tcPr>
          <w:p w14:paraId="000004C4"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63.9 / 45.9</w:t>
            </w:r>
          </w:p>
        </w:tc>
        <w:tc>
          <w:tcPr>
            <w:tcW w:w="1795" w:type="dxa"/>
            <w:vAlign w:val="bottom"/>
          </w:tcPr>
          <w:p w14:paraId="000004C5"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42.6 / 30.6</w:t>
            </w:r>
          </w:p>
        </w:tc>
        <w:tc>
          <w:tcPr>
            <w:tcW w:w="1796" w:type="dxa"/>
            <w:vAlign w:val="bottom"/>
          </w:tcPr>
          <w:p w14:paraId="000004C6"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21.3 / 15.3</w:t>
            </w:r>
          </w:p>
        </w:tc>
        <w:tc>
          <w:tcPr>
            <w:tcW w:w="851" w:type="dxa"/>
            <w:vAlign w:val="bottom"/>
          </w:tcPr>
          <w:p w14:paraId="000004C7"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186BD7FE" w14:textId="77777777">
        <w:trPr>
          <w:trHeight w:val="59"/>
        </w:trPr>
        <w:tc>
          <w:tcPr>
            <w:tcW w:w="1843" w:type="dxa"/>
            <w:shd w:val="clear" w:color="auto" w:fill="auto"/>
            <w:vAlign w:val="center"/>
          </w:tcPr>
          <w:p w14:paraId="000004C8"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Vehicle</w:t>
            </w:r>
          </w:p>
        </w:tc>
        <w:tc>
          <w:tcPr>
            <w:tcW w:w="1843" w:type="dxa"/>
            <w:shd w:val="clear" w:color="auto" w:fill="auto"/>
            <w:vAlign w:val="center"/>
          </w:tcPr>
          <w:p w14:paraId="000004C9"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0-3999</w:t>
            </w:r>
          </w:p>
        </w:tc>
        <w:tc>
          <w:tcPr>
            <w:tcW w:w="1795" w:type="dxa"/>
            <w:vAlign w:val="bottom"/>
          </w:tcPr>
          <w:p w14:paraId="000004CA"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124.7 / 46</w:t>
            </w:r>
          </w:p>
        </w:tc>
        <w:tc>
          <w:tcPr>
            <w:tcW w:w="1795" w:type="dxa"/>
            <w:vAlign w:val="bottom"/>
          </w:tcPr>
          <w:p w14:paraId="000004CB"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83.2 / 30.7</w:t>
            </w:r>
          </w:p>
        </w:tc>
        <w:tc>
          <w:tcPr>
            <w:tcW w:w="1796" w:type="dxa"/>
            <w:vAlign w:val="bottom"/>
          </w:tcPr>
          <w:p w14:paraId="000004CC"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41.6 / 15.3</w:t>
            </w:r>
          </w:p>
        </w:tc>
        <w:tc>
          <w:tcPr>
            <w:tcW w:w="851" w:type="dxa"/>
            <w:vAlign w:val="bottom"/>
          </w:tcPr>
          <w:p w14:paraId="000004CD"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r w:rsidR="001E40A1" w14:paraId="7C49DB00" w14:textId="77777777">
        <w:trPr>
          <w:trHeight w:val="59"/>
        </w:trPr>
        <w:tc>
          <w:tcPr>
            <w:tcW w:w="1843" w:type="dxa"/>
            <w:shd w:val="clear" w:color="auto" w:fill="auto"/>
            <w:vAlign w:val="center"/>
          </w:tcPr>
          <w:p w14:paraId="000004CE"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Vehicle</w:t>
            </w:r>
          </w:p>
        </w:tc>
        <w:tc>
          <w:tcPr>
            <w:tcW w:w="1843" w:type="dxa"/>
            <w:shd w:val="clear" w:color="auto" w:fill="auto"/>
            <w:vAlign w:val="center"/>
          </w:tcPr>
          <w:p w14:paraId="000004CF" w14:textId="77777777" w:rsidR="001E40A1" w:rsidRDefault="007A044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4000-+</w:t>
            </w:r>
          </w:p>
        </w:tc>
        <w:tc>
          <w:tcPr>
            <w:tcW w:w="1795" w:type="dxa"/>
            <w:vAlign w:val="bottom"/>
          </w:tcPr>
          <w:p w14:paraId="000004D0"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58.1 / 13.8</w:t>
            </w:r>
          </w:p>
        </w:tc>
        <w:tc>
          <w:tcPr>
            <w:tcW w:w="1795" w:type="dxa"/>
            <w:vAlign w:val="bottom"/>
          </w:tcPr>
          <w:p w14:paraId="000004D1"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38.7 / 9.2</w:t>
            </w:r>
          </w:p>
        </w:tc>
        <w:tc>
          <w:tcPr>
            <w:tcW w:w="1796" w:type="dxa"/>
            <w:vAlign w:val="bottom"/>
          </w:tcPr>
          <w:p w14:paraId="000004D2"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19.4 / 4.6</w:t>
            </w:r>
          </w:p>
        </w:tc>
        <w:tc>
          <w:tcPr>
            <w:tcW w:w="851" w:type="dxa"/>
            <w:vAlign w:val="bottom"/>
          </w:tcPr>
          <w:p w14:paraId="000004D3" w14:textId="77777777" w:rsidR="001E40A1" w:rsidRDefault="007A044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0</w:t>
            </w:r>
          </w:p>
        </w:tc>
      </w:tr>
    </w:tbl>
    <w:p w14:paraId="000004D4" w14:textId="77777777" w:rsidR="001E40A1" w:rsidRDefault="001E40A1">
      <w:pPr>
        <w:rPr>
          <w:rFonts w:ascii="Calibri" w:eastAsia="Calibri" w:hAnsi="Calibri" w:cs="Calibri"/>
        </w:rPr>
      </w:pPr>
    </w:p>
    <w:p w14:paraId="000004D5" w14:textId="77777777" w:rsidR="001E40A1" w:rsidRDefault="007A0446">
      <w:pPr>
        <w:rPr>
          <w:rFonts w:ascii="Calibri" w:eastAsia="Calibri" w:hAnsi="Calibri" w:cs="Calibri"/>
        </w:rPr>
      </w:pPr>
      <w:r>
        <w:rPr>
          <w:rFonts w:ascii="Calibri" w:eastAsia="Calibri" w:hAnsi="Calibri" w:cs="Calibri"/>
        </w:rPr>
        <w:t>*For Ferry-pax only, Cruise, and Ferry RoPax, the denominator is GT*nm instead of tnm.</w:t>
      </w:r>
    </w:p>
    <w:p w14:paraId="000004D6" w14:textId="77777777" w:rsidR="001E40A1" w:rsidRDefault="001E40A1">
      <w:pPr>
        <w:spacing w:before="105"/>
        <w:ind w:right="754"/>
        <w:rPr>
          <w:rFonts w:ascii="Calibri" w:eastAsia="Calibri" w:hAnsi="Calibri" w:cs="Calibri"/>
        </w:rPr>
      </w:pPr>
    </w:p>
    <w:p w14:paraId="000004D7" w14:textId="77777777" w:rsidR="001E40A1" w:rsidRDefault="001E40A1">
      <w:pPr>
        <w:spacing w:before="105"/>
        <w:ind w:right="754"/>
        <w:rPr>
          <w:rFonts w:ascii="Calibri" w:eastAsia="Calibri" w:hAnsi="Calibri" w:cs="Calibri"/>
        </w:rPr>
      </w:pPr>
    </w:p>
    <w:p w14:paraId="000004D8" w14:textId="77777777" w:rsidR="001E40A1" w:rsidRDefault="001E40A1">
      <w:pPr>
        <w:spacing w:before="105"/>
        <w:ind w:right="754"/>
        <w:rPr>
          <w:rFonts w:ascii="Calibri" w:eastAsia="Calibri" w:hAnsi="Calibri" w:cs="Calibri"/>
        </w:rPr>
      </w:pPr>
    </w:p>
    <w:p w14:paraId="000004D9" w14:textId="77777777" w:rsidR="001E40A1" w:rsidRDefault="001E40A1">
      <w:pPr>
        <w:spacing w:before="105"/>
        <w:ind w:right="754"/>
        <w:rPr>
          <w:rFonts w:ascii="Calibri" w:eastAsia="Calibri" w:hAnsi="Calibri" w:cs="Calibri"/>
        </w:rPr>
      </w:pPr>
    </w:p>
    <w:p w14:paraId="000004DA" w14:textId="77777777" w:rsidR="001E40A1" w:rsidRDefault="001E40A1">
      <w:pPr>
        <w:spacing w:before="105"/>
        <w:ind w:right="754"/>
        <w:rPr>
          <w:rFonts w:ascii="Calibri" w:eastAsia="Calibri" w:hAnsi="Calibri" w:cs="Calibri"/>
        </w:rPr>
      </w:pPr>
    </w:p>
    <w:p w14:paraId="000004DB" w14:textId="77777777" w:rsidR="001E40A1" w:rsidRDefault="001E40A1">
      <w:pPr>
        <w:spacing w:before="105"/>
        <w:ind w:right="754"/>
        <w:rPr>
          <w:rFonts w:ascii="Calibri" w:eastAsia="Calibri" w:hAnsi="Calibri" w:cs="Calibri"/>
        </w:rPr>
      </w:pPr>
    </w:p>
    <w:p w14:paraId="000004DC" w14:textId="77777777" w:rsidR="001E40A1" w:rsidRDefault="001E40A1">
      <w:pPr>
        <w:spacing w:before="105"/>
        <w:ind w:right="754"/>
        <w:rPr>
          <w:rFonts w:ascii="Calibri" w:eastAsia="Calibri" w:hAnsi="Calibri" w:cs="Calibri"/>
        </w:rPr>
      </w:pPr>
    </w:p>
    <w:p w14:paraId="000004DD" w14:textId="77777777" w:rsidR="001E40A1" w:rsidRDefault="001E40A1">
      <w:pPr>
        <w:spacing w:before="105"/>
        <w:ind w:right="754"/>
        <w:rPr>
          <w:rFonts w:ascii="Calibri" w:eastAsia="Calibri" w:hAnsi="Calibri" w:cs="Calibri"/>
          <w:color w:val="000000"/>
        </w:rPr>
      </w:pPr>
    </w:p>
    <w:p w14:paraId="000004DE" w14:textId="77777777" w:rsidR="001E40A1" w:rsidRDefault="007A0446">
      <w:pPr>
        <w:spacing w:before="130"/>
        <w:rPr>
          <w:rFonts w:ascii="Calibri" w:eastAsia="Calibri" w:hAnsi="Calibri" w:cs="Calibri"/>
          <w:b/>
          <w:color w:val="000000"/>
        </w:rPr>
      </w:pPr>
      <w:r>
        <w:rPr>
          <w:rFonts w:ascii="Calibri" w:eastAsia="Calibri" w:hAnsi="Calibri" w:cs="Calibri"/>
          <w:b/>
          <w:color w:val="000000"/>
        </w:rPr>
        <w:lastRenderedPageBreak/>
        <w:t>Continuously updating the trajectories as further data becomes available</w:t>
      </w:r>
    </w:p>
    <w:p w14:paraId="000004DF" w14:textId="77777777" w:rsidR="001E40A1" w:rsidRDefault="007A0446">
      <w:pPr>
        <w:widowControl w:val="0"/>
        <w:pBdr>
          <w:top w:val="nil"/>
          <w:left w:val="nil"/>
          <w:bottom w:val="nil"/>
          <w:right w:val="nil"/>
          <w:between w:val="nil"/>
        </w:pBdr>
        <w:spacing w:before="100"/>
        <w:ind w:right="-52"/>
        <w:jc w:val="both"/>
        <w:rPr>
          <w:rFonts w:ascii="Calibri" w:eastAsia="Calibri" w:hAnsi="Calibri" w:cs="Calibri"/>
          <w:color w:val="000000"/>
        </w:rPr>
      </w:pPr>
      <w:r>
        <w:rPr>
          <w:rFonts w:ascii="Calibri" w:eastAsia="Calibri" w:hAnsi="Calibri" w:cs="Calibri"/>
          <w:color w:val="000000"/>
        </w:rPr>
        <w:t>Over the timescale that the decarbonization trajectories are estimated, a number of the parameters that are used in their calculation may change. These include:</w:t>
      </w:r>
    </w:p>
    <w:p w14:paraId="000004E0" w14:textId="77777777" w:rsidR="001E40A1" w:rsidRDefault="001E40A1">
      <w:pPr>
        <w:widowControl w:val="0"/>
        <w:pBdr>
          <w:top w:val="nil"/>
          <w:left w:val="nil"/>
          <w:bottom w:val="nil"/>
          <w:right w:val="nil"/>
          <w:between w:val="nil"/>
        </w:pBdr>
        <w:ind w:right="-52"/>
        <w:jc w:val="both"/>
        <w:rPr>
          <w:rFonts w:ascii="Calibri" w:eastAsia="Calibri" w:hAnsi="Calibri" w:cs="Calibri"/>
          <w:color w:val="000000"/>
        </w:rPr>
      </w:pPr>
    </w:p>
    <w:p w14:paraId="000004E1" w14:textId="77777777" w:rsidR="001E40A1" w:rsidRDefault="007A0446">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284"/>
        </w:tabs>
        <w:ind w:left="0" w:right="-52" w:firstLine="0"/>
        <w:jc w:val="both"/>
        <w:rPr>
          <w:rFonts w:ascii="Calibri" w:eastAsia="Calibri" w:hAnsi="Calibri" w:cs="Calibri"/>
          <w:color w:val="000000"/>
        </w:rPr>
      </w:pPr>
      <w:r>
        <w:rPr>
          <w:rFonts w:ascii="Calibri" w:eastAsia="Calibri" w:hAnsi="Calibri" w:cs="Calibri"/>
          <w:color w:val="000000"/>
        </w:rPr>
        <w:t>The IMO may modify the Objectives, including when the Revised Strategies are adopted, expected</w:t>
      </w:r>
      <w:r>
        <w:rPr>
          <w:rFonts w:ascii="Calibri" w:eastAsia="Calibri" w:hAnsi="Calibri" w:cs="Calibri"/>
          <w:color w:val="000000"/>
        </w:rPr>
        <w:t xml:space="preserve"> 2023 (e.g., if the Objectives increase in ambition, the carbon intensity trajectory will steepen).</w:t>
      </w:r>
    </w:p>
    <w:p w14:paraId="000004E2" w14:textId="77777777" w:rsidR="001E40A1" w:rsidRDefault="001E40A1">
      <w:pPr>
        <w:widowControl w:val="0"/>
        <w:pBdr>
          <w:top w:val="nil"/>
          <w:left w:val="nil"/>
          <w:bottom w:val="nil"/>
          <w:right w:val="nil"/>
          <w:between w:val="nil"/>
        </w:pBdr>
        <w:tabs>
          <w:tab w:val="left" w:pos="284"/>
        </w:tabs>
        <w:ind w:right="-52"/>
        <w:jc w:val="both"/>
        <w:rPr>
          <w:rFonts w:ascii="Calibri" w:eastAsia="Calibri" w:hAnsi="Calibri" w:cs="Calibri"/>
          <w:color w:val="000000"/>
        </w:rPr>
      </w:pPr>
    </w:p>
    <w:p w14:paraId="000004E3" w14:textId="77777777" w:rsidR="001E40A1" w:rsidRDefault="007A0446">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284"/>
        </w:tabs>
        <w:ind w:left="0" w:right="-52" w:firstLine="0"/>
        <w:jc w:val="both"/>
        <w:rPr>
          <w:rFonts w:ascii="Calibri" w:eastAsia="Calibri" w:hAnsi="Calibri" w:cs="Calibri"/>
          <w:color w:val="000000"/>
        </w:rPr>
      </w:pPr>
      <w:r>
        <w:rPr>
          <w:rFonts w:ascii="Calibri" w:eastAsia="Calibri" w:hAnsi="Calibri" w:cs="Calibri"/>
          <w:color w:val="000000"/>
        </w:rPr>
        <w:t>The Fourth IMO GHG Study (expected 2020/2021) and subsequent studies may update or modify the estimates of the historical carbon intensity and carbon intensity trends (e.g., if historical estimates are revised upwards, the carbon intensity objective will s</w:t>
      </w:r>
      <w:r>
        <w:rPr>
          <w:rFonts w:ascii="Calibri" w:eastAsia="Calibri" w:hAnsi="Calibri" w:cs="Calibri"/>
          <w:color w:val="000000"/>
        </w:rPr>
        <w:t>teepen).</w:t>
      </w:r>
    </w:p>
    <w:p w14:paraId="000004E4" w14:textId="77777777" w:rsidR="001E40A1" w:rsidRDefault="001E40A1">
      <w:pPr>
        <w:widowControl w:val="0"/>
        <w:pBdr>
          <w:top w:val="nil"/>
          <w:left w:val="nil"/>
          <w:bottom w:val="nil"/>
          <w:right w:val="nil"/>
          <w:between w:val="nil"/>
        </w:pBdr>
        <w:tabs>
          <w:tab w:val="left" w:pos="284"/>
        </w:tabs>
        <w:ind w:right="-52"/>
        <w:jc w:val="both"/>
        <w:rPr>
          <w:rFonts w:ascii="Calibri" w:eastAsia="Calibri" w:hAnsi="Calibri" w:cs="Calibri"/>
          <w:color w:val="000000"/>
        </w:rPr>
      </w:pPr>
    </w:p>
    <w:p w14:paraId="000004E5" w14:textId="77777777" w:rsidR="001E40A1" w:rsidRDefault="007A0446">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284"/>
        </w:tabs>
        <w:ind w:left="0" w:right="-52" w:firstLine="0"/>
        <w:jc w:val="both"/>
        <w:rPr>
          <w:rFonts w:ascii="Calibri" w:eastAsia="Calibri" w:hAnsi="Calibri" w:cs="Calibri"/>
          <w:color w:val="000000"/>
        </w:rPr>
      </w:pPr>
      <w:r>
        <w:rPr>
          <w:rFonts w:ascii="Calibri" w:eastAsia="Calibri" w:hAnsi="Calibri" w:cs="Calibri"/>
          <w:color w:val="000000"/>
        </w:rPr>
        <w:t>Transport demand growth may develop differently to the estimate used here to calculate the carbon intensity trend consistent with a 2050 absolute GHG objective (e.g., if demand growth exceeds the trend used in these calculations, the carbon inten</w:t>
      </w:r>
      <w:r>
        <w:rPr>
          <w:rFonts w:ascii="Calibri" w:eastAsia="Calibri" w:hAnsi="Calibri" w:cs="Calibri"/>
          <w:color w:val="000000"/>
        </w:rPr>
        <w:t>sity objective will steepen).</w:t>
      </w:r>
    </w:p>
    <w:p w14:paraId="000004E6" w14:textId="77777777" w:rsidR="001E40A1" w:rsidRDefault="001E40A1">
      <w:pPr>
        <w:widowControl w:val="0"/>
        <w:pBdr>
          <w:top w:val="nil"/>
          <w:left w:val="nil"/>
          <w:bottom w:val="nil"/>
          <w:right w:val="nil"/>
          <w:between w:val="nil"/>
        </w:pBdr>
        <w:tabs>
          <w:tab w:val="left" w:pos="284"/>
        </w:tabs>
        <w:ind w:right="-52"/>
        <w:jc w:val="both"/>
        <w:rPr>
          <w:rFonts w:ascii="Calibri" w:eastAsia="Calibri" w:hAnsi="Calibri" w:cs="Calibri"/>
          <w:color w:val="000000"/>
        </w:rPr>
      </w:pPr>
    </w:p>
    <w:p w14:paraId="000004E7" w14:textId="77777777" w:rsidR="001E40A1" w:rsidRDefault="007A0446">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284"/>
        </w:tabs>
        <w:ind w:left="0" w:right="-52" w:firstLine="0"/>
        <w:jc w:val="both"/>
        <w:rPr>
          <w:rFonts w:ascii="Calibri" w:eastAsia="Calibri" w:hAnsi="Calibri" w:cs="Calibri"/>
          <w:color w:val="000000"/>
        </w:rPr>
      </w:pPr>
      <w:r>
        <w:rPr>
          <w:rFonts w:ascii="Calibri" w:eastAsia="Calibri" w:hAnsi="Calibri" w:cs="Calibri"/>
          <w:color w:val="000000"/>
        </w:rPr>
        <w:t>Demand growth may develop differentially between ship types and increase the demand for ships with different carbon intensity than the 2012 fleet (e.g., if demand modifies the fleet composition to increase the share of emissi</w:t>
      </w:r>
      <w:r>
        <w:rPr>
          <w:rFonts w:ascii="Calibri" w:eastAsia="Calibri" w:hAnsi="Calibri" w:cs="Calibri"/>
          <w:color w:val="000000"/>
        </w:rPr>
        <w:t>ons by ships which have higher carbon intensity, the carbon intensity objective will steepen).</w:t>
      </w:r>
    </w:p>
    <w:p w14:paraId="000004E8" w14:textId="77777777" w:rsidR="001E40A1" w:rsidRDefault="001E40A1">
      <w:pPr>
        <w:widowControl w:val="0"/>
        <w:pBdr>
          <w:top w:val="nil"/>
          <w:left w:val="nil"/>
          <w:bottom w:val="nil"/>
          <w:right w:val="nil"/>
          <w:between w:val="nil"/>
        </w:pBdr>
        <w:tabs>
          <w:tab w:val="left" w:pos="284"/>
        </w:tabs>
        <w:ind w:right="-52"/>
        <w:jc w:val="both"/>
        <w:rPr>
          <w:rFonts w:ascii="Calibri" w:eastAsia="Calibri" w:hAnsi="Calibri" w:cs="Calibri"/>
          <w:color w:val="000000"/>
        </w:rPr>
      </w:pPr>
    </w:p>
    <w:p w14:paraId="000004E9" w14:textId="77777777" w:rsidR="001E40A1" w:rsidRDefault="007A0446">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284"/>
        </w:tabs>
        <w:ind w:left="0" w:right="-52" w:firstLine="0"/>
        <w:jc w:val="both"/>
        <w:rPr>
          <w:rFonts w:ascii="Calibri" w:eastAsia="Calibri" w:hAnsi="Calibri" w:cs="Calibri"/>
          <w:color w:val="000000"/>
        </w:rPr>
      </w:pPr>
      <w:r>
        <w:rPr>
          <w:rFonts w:ascii="Calibri" w:eastAsia="Calibri" w:hAnsi="Calibri" w:cs="Calibri"/>
          <w:color w:val="000000"/>
        </w:rPr>
        <w:t>Utilization may differ from the values estimated for 2012, which will modify the relationship between AER and EEOI and mean that the climate alignment trajector</w:t>
      </w:r>
      <w:r>
        <w:rPr>
          <w:rFonts w:ascii="Calibri" w:eastAsia="Calibri" w:hAnsi="Calibri" w:cs="Calibri"/>
          <w:color w:val="000000"/>
        </w:rPr>
        <w:t>y set using AER will need to be modified (e.g., if utilization reduces relative to 2012, the carbon intensity objective will steepen).</w:t>
      </w:r>
    </w:p>
    <w:p w14:paraId="000004EA" w14:textId="77777777" w:rsidR="001E40A1" w:rsidRDefault="001E40A1">
      <w:pPr>
        <w:widowControl w:val="0"/>
        <w:pBdr>
          <w:top w:val="nil"/>
          <w:left w:val="nil"/>
          <w:bottom w:val="nil"/>
          <w:right w:val="nil"/>
          <w:between w:val="nil"/>
        </w:pBdr>
        <w:ind w:right="-52"/>
        <w:jc w:val="both"/>
        <w:rPr>
          <w:rFonts w:ascii="Calibri" w:eastAsia="Calibri" w:hAnsi="Calibri" w:cs="Calibri"/>
          <w:color w:val="000000"/>
        </w:rPr>
      </w:pPr>
    </w:p>
    <w:p w14:paraId="000004EB" w14:textId="77777777" w:rsidR="001E40A1" w:rsidRDefault="007A0446">
      <w:pPr>
        <w:widowControl w:val="0"/>
        <w:pBdr>
          <w:top w:val="nil"/>
          <w:left w:val="nil"/>
          <w:bottom w:val="nil"/>
          <w:right w:val="nil"/>
          <w:between w:val="nil"/>
        </w:pBdr>
        <w:ind w:right="-52"/>
        <w:jc w:val="both"/>
        <w:rPr>
          <w:rFonts w:ascii="Calibri" w:eastAsia="Calibri" w:hAnsi="Calibri" w:cs="Calibri"/>
          <w:color w:val="000000"/>
        </w:rPr>
      </w:pPr>
      <w:r>
        <w:rPr>
          <w:rFonts w:ascii="Calibri" w:eastAsia="Calibri" w:hAnsi="Calibri" w:cs="Calibri"/>
          <w:color w:val="000000"/>
        </w:rPr>
        <w:t xml:space="preserve">While the decarbonization trajectory and the ship type and size-specific trajectory values have been calculated using the best available data, there are a number of foreseeable reasons why these values may need to change in the future. For this reason, it </w:t>
      </w:r>
      <w:r>
        <w:rPr>
          <w:rFonts w:ascii="Calibri" w:eastAsia="Calibri" w:hAnsi="Calibri" w:cs="Calibri"/>
          <w:color w:val="000000"/>
        </w:rPr>
        <w:t>is proposed that decarbonization trajectories are reviewed every five years, approximately consistent with the periodic release of new analysis (the IMO GHG Studies). Any update to the decarbonization trajectories should be applied for future climate align</w:t>
      </w:r>
      <w:r>
        <w:rPr>
          <w:rFonts w:ascii="Calibri" w:eastAsia="Calibri" w:hAnsi="Calibri" w:cs="Calibri"/>
          <w:color w:val="000000"/>
        </w:rPr>
        <w:t>ment, not reanalysis of historical climate alignment.</w:t>
      </w:r>
    </w:p>
    <w:p w14:paraId="000004EC" w14:textId="77777777" w:rsidR="001E40A1" w:rsidRDefault="007A0446">
      <w:pPr>
        <w:rPr>
          <w:rFonts w:ascii="Calibri" w:eastAsia="Calibri" w:hAnsi="Calibri" w:cs="Calibri"/>
          <w:color w:val="000000"/>
        </w:rPr>
      </w:pPr>
      <w:r>
        <w:br w:type="page"/>
      </w:r>
    </w:p>
    <w:p w14:paraId="000004ED" w14:textId="77777777" w:rsidR="001E40A1" w:rsidRDefault="007A0446">
      <w:pPr>
        <w:pStyle w:val="Heading1"/>
      </w:pPr>
      <w:bookmarkStart w:id="52" w:name="_heading=h.111kx3o" w:colFirst="0" w:colLast="0"/>
      <w:bookmarkEnd w:id="52"/>
      <w:r>
        <w:lastRenderedPageBreak/>
        <w:t>Appendix 4: CBI Climate Resilience Principles</w:t>
      </w:r>
    </w:p>
    <w:p w14:paraId="000004EE" w14:textId="77777777" w:rsidR="001E40A1" w:rsidRDefault="001E40A1">
      <w:pPr>
        <w:rPr>
          <w:rFonts w:ascii="Calibri" w:eastAsia="Calibri" w:hAnsi="Calibri" w:cs="Calibri"/>
        </w:rPr>
      </w:pPr>
    </w:p>
    <w:p w14:paraId="000004EF" w14:textId="77777777" w:rsidR="001E40A1" w:rsidRDefault="007A0446">
      <w:pPr>
        <w:rPr>
          <w:rFonts w:ascii="Calibri" w:eastAsia="Calibri" w:hAnsi="Calibri" w:cs="Calibri"/>
          <w:color w:val="000000"/>
        </w:rPr>
      </w:pPr>
      <w:r>
        <w:rPr>
          <w:rFonts w:ascii="Calibri" w:eastAsia="Calibri" w:hAnsi="Calibri" w:cs="Calibri"/>
          <w:color w:val="000000"/>
        </w:rPr>
        <w:t>The Climate Resilience Principles provide the framework for sector-specific resilience criteria. Despite our best efforts, the Principles were found to b</w:t>
      </w:r>
      <w:r>
        <w:rPr>
          <w:rFonts w:ascii="Calibri" w:eastAsia="Calibri" w:hAnsi="Calibri" w:cs="Calibri"/>
          <w:color w:val="000000"/>
        </w:rPr>
        <w:t xml:space="preserve">e inapplicable to the shipping sector. The following section summarises the key concepts and questions that arose when applying the Climate Resilience Principles to these Shipping Criteria. The derogation of the Shipping Sector from the Climate Resilience </w:t>
      </w:r>
      <w:r>
        <w:rPr>
          <w:rFonts w:ascii="Calibri" w:eastAsia="Calibri" w:hAnsi="Calibri" w:cs="Calibri"/>
          <w:color w:val="000000"/>
        </w:rPr>
        <w:t xml:space="preserve">Principles will be reviewed biennially. </w:t>
      </w:r>
    </w:p>
    <w:p w14:paraId="000004F0" w14:textId="77777777" w:rsidR="001E40A1" w:rsidRDefault="007A0446">
      <w:pPr>
        <w:jc w:val="both"/>
        <w:rPr>
          <w:rFonts w:ascii="Calibri" w:eastAsia="Calibri" w:hAnsi="Calibri" w:cs="Calibri"/>
          <w:color w:val="000000"/>
        </w:rPr>
      </w:pPr>
      <w:r>
        <w:rPr>
          <w:rFonts w:ascii="Calibri" w:eastAsia="Calibri" w:hAnsi="Calibri" w:cs="Calibri"/>
          <w:color w:val="000000"/>
        </w:rPr>
        <w:br/>
        <w:t>The CBI AREG Principle 1 requires issuers to demonstrate that the defined systems, boundaries and critical interdependencies that a ship operates in are understood and clearly articulated in accordance with Princip</w:t>
      </w:r>
      <w:r>
        <w:rPr>
          <w:rFonts w:ascii="Calibri" w:eastAsia="Calibri" w:hAnsi="Calibri" w:cs="Calibri"/>
          <w:color w:val="000000"/>
        </w:rPr>
        <w:t>le 1. The class and size of the ships within scope of these Shipping Criteria include those which can sail globally. It was therefore deemed untenable to require issuers to define the operating boundaries of ships as these are expected to change drasticall</w:t>
      </w:r>
      <w:r>
        <w:rPr>
          <w:rFonts w:ascii="Calibri" w:eastAsia="Calibri" w:hAnsi="Calibri" w:cs="Calibri"/>
          <w:color w:val="000000"/>
        </w:rPr>
        <w:t xml:space="preserve">y throughout the ship’s operating life. </w:t>
      </w:r>
    </w:p>
    <w:p w14:paraId="000004F1" w14:textId="77777777" w:rsidR="001E40A1" w:rsidRDefault="007A0446">
      <w:pPr>
        <w:jc w:val="both"/>
        <w:rPr>
          <w:rFonts w:ascii="Calibri" w:eastAsia="Calibri" w:hAnsi="Calibri" w:cs="Calibri"/>
          <w:color w:val="000000"/>
        </w:rPr>
      </w:pPr>
      <w:r>
        <w:rPr>
          <w:rFonts w:ascii="Calibri" w:eastAsia="Calibri" w:hAnsi="Calibri" w:cs="Calibri"/>
          <w:color w:val="000000"/>
        </w:rPr>
        <w:br/>
        <w:t>CBI AREG Principle 2 requires that an assessment of the physical climate hazards to which the ship will be exposed and vulnerable over its operating life is taken. Because ships can travel globally, their primary r</w:t>
      </w:r>
      <w:r>
        <w:rPr>
          <w:rFonts w:ascii="Calibri" w:eastAsia="Calibri" w:hAnsi="Calibri" w:cs="Calibri"/>
          <w:color w:val="000000"/>
        </w:rPr>
        <w:t xml:space="preserve">isks are extreme weather events. Unlike ports, ships are naturally capable of withstanding sea level rise, extreme weather events (due to storm monitoring and weather routing systems) and are not vulnerabilities to landside risks. </w:t>
      </w:r>
    </w:p>
    <w:p w14:paraId="000004F2" w14:textId="77777777" w:rsidR="001E40A1" w:rsidRDefault="007A0446">
      <w:pPr>
        <w:jc w:val="both"/>
        <w:rPr>
          <w:rFonts w:ascii="Calibri" w:eastAsia="Calibri" w:hAnsi="Calibri" w:cs="Calibri"/>
          <w:color w:val="000000"/>
        </w:rPr>
      </w:pPr>
      <w:r>
        <w:rPr>
          <w:rFonts w:ascii="Calibri" w:eastAsia="Calibri" w:hAnsi="Calibri" w:cs="Calibri"/>
          <w:color w:val="000000"/>
        </w:rPr>
        <w:br/>
        <w:t>CBI AREG Principle 3 re</w:t>
      </w:r>
      <w:r>
        <w:rPr>
          <w:rFonts w:ascii="Calibri" w:eastAsia="Calibri" w:hAnsi="Calibri" w:cs="Calibri"/>
          <w:color w:val="000000"/>
        </w:rPr>
        <w:t xml:space="preserve">quires that ships must be ‘fit for purpose’ and resilient to the risks identified in Principle 2. The shipping sector is supported by a classification society that uses standards that reflect an operating environmental envelope, because ships are used for </w:t>
      </w:r>
      <w:r>
        <w:rPr>
          <w:rFonts w:ascii="Calibri" w:eastAsia="Calibri" w:hAnsi="Calibri" w:cs="Calibri"/>
          <w:color w:val="000000"/>
        </w:rPr>
        <w:t>global deployment, they take into account the most extreme conditions. Assumptions on the environmental events are written into these standards and rules and derived from data sources taking into account meteorological and oceanographic data. This includes</w:t>
      </w:r>
      <w:r>
        <w:rPr>
          <w:rFonts w:ascii="Calibri" w:eastAsia="Calibri" w:hAnsi="Calibri" w:cs="Calibri"/>
          <w:color w:val="000000"/>
        </w:rPr>
        <w:t xml:space="preserve"> factors such as strength, loading conditions, and fatigue design. As such, these criteria do not require that issuers prove that a ship is ‘fit for purpose’.</w:t>
      </w:r>
    </w:p>
    <w:p w14:paraId="000004F3" w14:textId="77777777" w:rsidR="001E40A1" w:rsidRDefault="007A0446">
      <w:pPr>
        <w:jc w:val="both"/>
        <w:rPr>
          <w:rFonts w:ascii="Calibri" w:eastAsia="Calibri" w:hAnsi="Calibri" w:cs="Calibri"/>
          <w:color w:val="000000"/>
        </w:rPr>
      </w:pPr>
      <w:r>
        <w:rPr>
          <w:rFonts w:ascii="Calibri" w:eastAsia="Calibri" w:hAnsi="Calibri" w:cs="Calibri"/>
          <w:color w:val="000000"/>
        </w:rPr>
        <w:br/>
        <w:t>CBI AREG Principle 4 requires that an assessment of a ship’s impact on system resilience is cond</w:t>
      </w:r>
      <w:r>
        <w:rPr>
          <w:rFonts w:ascii="Calibri" w:eastAsia="Calibri" w:hAnsi="Calibri" w:cs="Calibri"/>
          <w:color w:val="000000"/>
        </w:rPr>
        <w:t>ucted, to determine whether a ship presents a risk to system resilience or provides a benefit to system resilience.</w:t>
      </w:r>
    </w:p>
    <w:p w14:paraId="000004F4" w14:textId="77777777" w:rsidR="001E40A1" w:rsidRDefault="001E40A1">
      <w:pPr>
        <w:jc w:val="both"/>
        <w:rPr>
          <w:rFonts w:ascii="Calibri" w:eastAsia="Calibri" w:hAnsi="Calibri" w:cs="Calibri"/>
          <w:color w:val="000000"/>
        </w:rPr>
      </w:pPr>
    </w:p>
    <w:p w14:paraId="000004F5" w14:textId="77777777" w:rsidR="001E40A1" w:rsidRDefault="007A0446">
      <w:pPr>
        <w:jc w:val="both"/>
        <w:rPr>
          <w:rFonts w:ascii="Calibri" w:eastAsia="Calibri" w:hAnsi="Calibri" w:cs="Calibri"/>
          <w:color w:val="000000"/>
        </w:rPr>
      </w:pPr>
      <w:r>
        <w:rPr>
          <w:rFonts w:ascii="Calibri" w:eastAsia="Calibri" w:hAnsi="Calibri" w:cs="Calibri"/>
          <w:color w:val="000000"/>
        </w:rPr>
        <w:t>CBI AREG Principle 5 questions whether, in a case where ships are providing a substantial contribution to adaptation and resilience, the sh</w:t>
      </w:r>
      <w:r>
        <w:rPr>
          <w:rFonts w:ascii="Calibri" w:eastAsia="Calibri" w:hAnsi="Calibri" w:cs="Calibri"/>
          <w:color w:val="000000"/>
        </w:rPr>
        <w:t>ip can be derogated from fulfilling the mitigation criteria. This implies that certification is awarded based on the adaptation/resilience benefit of the ship, and that the vessel meets a minimum mitigation threshold. Considering the limitations in pursuin</w:t>
      </w:r>
      <w:r>
        <w:rPr>
          <w:rFonts w:ascii="Calibri" w:eastAsia="Calibri" w:hAnsi="Calibri" w:cs="Calibri"/>
          <w:color w:val="000000"/>
        </w:rPr>
        <w:t>g CBI AREG Principle 4, it was deemed impractical at this stage to instigate such an option. Furthermore, we could not identify a reason that a vessel should be derogated from this requirement. Similarly, CBI AREG Principle 6, which requires ongoing monito</w:t>
      </w:r>
      <w:r>
        <w:rPr>
          <w:rFonts w:ascii="Calibri" w:eastAsia="Calibri" w:hAnsi="Calibri" w:cs="Calibri"/>
          <w:color w:val="000000"/>
        </w:rPr>
        <w:t xml:space="preserve">ring and evaluation of the relevant risks and resilience measures and related project adjustments when needed, is not required in the Shipping Criteria at this stage. </w:t>
      </w:r>
    </w:p>
    <w:p w14:paraId="000004F6" w14:textId="77777777" w:rsidR="001E40A1" w:rsidRDefault="007A0446">
      <w:pPr>
        <w:rPr>
          <w:rFonts w:ascii="Calibri" w:eastAsia="Calibri" w:hAnsi="Calibri" w:cs="Calibri"/>
        </w:rPr>
      </w:pPr>
      <w:r>
        <w:rPr>
          <w:rFonts w:ascii="Calibri" w:eastAsia="Calibri" w:hAnsi="Calibri" w:cs="Calibri"/>
        </w:rPr>
        <w:br/>
      </w:r>
      <w:r>
        <w:rPr>
          <w:rFonts w:ascii="Calibri" w:eastAsia="Calibri" w:hAnsi="Calibri" w:cs="Calibri"/>
          <w:b/>
          <w:color w:val="042D40"/>
        </w:rPr>
        <w:t>Recommendations for future adaptation and resilience criteria development</w:t>
      </w:r>
    </w:p>
    <w:p w14:paraId="000004F7" w14:textId="77777777" w:rsidR="001E40A1" w:rsidRDefault="007A0446">
      <w:pPr>
        <w:jc w:val="both"/>
        <w:rPr>
          <w:rFonts w:ascii="Calibri" w:eastAsia="Calibri" w:hAnsi="Calibri" w:cs="Calibri"/>
          <w:color w:val="042D40"/>
        </w:rPr>
      </w:pPr>
      <w:r>
        <w:rPr>
          <w:rFonts w:ascii="Calibri" w:eastAsia="Calibri" w:hAnsi="Calibri" w:cs="Calibri"/>
          <w:color w:val="042D40"/>
        </w:rPr>
        <w:t xml:space="preserve">This section </w:t>
      </w:r>
      <w:r>
        <w:rPr>
          <w:rFonts w:ascii="Calibri" w:eastAsia="Calibri" w:hAnsi="Calibri" w:cs="Calibri"/>
          <w:color w:val="042D40"/>
        </w:rPr>
        <w:t>serves as a record of the discussions that were had as we attempted to apply the CRPs to the CBI Shipping Criteria. It is hoped that they can be used as guidance to support future development of the CRP to these criteria. Issuers are not required to provid</w:t>
      </w:r>
      <w:r>
        <w:rPr>
          <w:rFonts w:ascii="Calibri" w:eastAsia="Calibri" w:hAnsi="Calibri" w:cs="Calibri"/>
          <w:color w:val="042D40"/>
        </w:rPr>
        <w:t xml:space="preserve">e this information CBI Certification. </w:t>
      </w:r>
    </w:p>
    <w:p w14:paraId="000004F8" w14:textId="77777777" w:rsidR="001E40A1" w:rsidRDefault="001E40A1">
      <w:pPr>
        <w:rPr>
          <w:rFonts w:ascii="Calibri" w:eastAsia="Calibri" w:hAnsi="Calibri" w:cs="Calibri"/>
        </w:rPr>
      </w:pPr>
    </w:p>
    <w:p w14:paraId="000004F9" w14:textId="77777777" w:rsidR="001E40A1" w:rsidRDefault="007A0446">
      <w:pPr>
        <w:pStyle w:val="Heading3"/>
        <w:rPr>
          <w:rFonts w:ascii="Calibri" w:eastAsia="Calibri" w:hAnsi="Calibri" w:cs="Calibri"/>
        </w:rPr>
      </w:pPr>
      <w:bookmarkStart w:id="53" w:name="_heading=h.3l18frh" w:colFirst="0" w:colLast="0"/>
      <w:bookmarkEnd w:id="53"/>
      <w:r>
        <w:rPr>
          <w:rFonts w:ascii="Calibri" w:eastAsia="Calibri" w:hAnsi="Calibri" w:cs="Calibri"/>
        </w:rPr>
        <w:t xml:space="preserve">CBI AREG Principle 1: Defining the boundaries and critical interdependencies </w:t>
      </w:r>
    </w:p>
    <w:p w14:paraId="000004FA" w14:textId="77777777" w:rsidR="001E40A1" w:rsidRDefault="007A0446">
      <w:pPr>
        <w:jc w:val="both"/>
        <w:rPr>
          <w:rFonts w:ascii="Calibri" w:eastAsia="Calibri" w:hAnsi="Calibri" w:cs="Calibri"/>
          <w:color w:val="000000"/>
        </w:rPr>
      </w:pPr>
      <w:r>
        <w:rPr>
          <w:rFonts w:ascii="Calibri" w:eastAsia="Calibri" w:hAnsi="Calibri" w:cs="Calibri"/>
          <w:color w:val="000000"/>
        </w:rPr>
        <w:t xml:space="preserve">Clear boundaries and critical interdependencies between the ship and the systems they operate within are identified. Bonds will typically </w:t>
      </w:r>
      <w:r>
        <w:rPr>
          <w:rFonts w:ascii="Calibri" w:eastAsia="Calibri" w:hAnsi="Calibri" w:cs="Calibri"/>
          <w:color w:val="000000"/>
        </w:rPr>
        <w:t>be used to finance international shipping vessels that are global in scope and reach, however, it is expected that there may be some issuers seeking to use proceeds for short-haul ferries on dedicated routes or within a specific region. Issuers are welcome</w:t>
      </w:r>
      <w:r>
        <w:rPr>
          <w:rFonts w:ascii="Calibri" w:eastAsia="Calibri" w:hAnsi="Calibri" w:cs="Calibri"/>
          <w:color w:val="000000"/>
        </w:rPr>
        <w:t xml:space="preserve"> to explain the ecological and economic system within which a ship will operate, this can include a description of the geographical region of the ship’s expected use, and if applicable, the specific conditions of that region. </w:t>
      </w:r>
    </w:p>
    <w:p w14:paraId="000004FB" w14:textId="77777777" w:rsidR="001E40A1" w:rsidRDefault="001E40A1">
      <w:pPr>
        <w:rPr>
          <w:rFonts w:ascii="Calibri" w:eastAsia="Calibri" w:hAnsi="Calibri" w:cs="Calibri"/>
        </w:rPr>
      </w:pPr>
    </w:p>
    <w:p w14:paraId="000004FC" w14:textId="77777777" w:rsidR="001E40A1" w:rsidRDefault="007A0446">
      <w:pPr>
        <w:pStyle w:val="Heading3"/>
        <w:rPr>
          <w:rFonts w:ascii="Calibri" w:eastAsia="Calibri" w:hAnsi="Calibri" w:cs="Calibri"/>
        </w:rPr>
      </w:pPr>
      <w:bookmarkStart w:id="54" w:name="_heading=h.206ipza" w:colFirst="0" w:colLast="0"/>
      <w:bookmarkEnd w:id="54"/>
      <w:r>
        <w:rPr>
          <w:rFonts w:ascii="Calibri" w:eastAsia="Calibri" w:hAnsi="Calibri" w:cs="Calibri"/>
        </w:rPr>
        <w:t>CBI AREG Principle 2: Unders</w:t>
      </w:r>
      <w:r>
        <w:rPr>
          <w:rFonts w:ascii="Calibri" w:eastAsia="Calibri" w:hAnsi="Calibri" w:cs="Calibri"/>
        </w:rPr>
        <w:t>tanding the climate risks to the asset</w:t>
      </w:r>
    </w:p>
    <w:p w14:paraId="000004FD" w14:textId="77777777" w:rsidR="001E40A1" w:rsidRDefault="007A0446">
      <w:pPr>
        <w:jc w:val="both"/>
        <w:rPr>
          <w:rFonts w:ascii="Calibri" w:eastAsia="Calibri" w:hAnsi="Calibri" w:cs="Calibri"/>
          <w:color w:val="000000"/>
        </w:rPr>
      </w:pPr>
      <w:r>
        <w:rPr>
          <w:rFonts w:ascii="Calibri" w:eastAsia="Calibri" w:hAnsi="Calibri" w:cs="Calibri"/>
          <w:color w:val="000000"/>
        </w:rPr>
        <w:t>Issuers are welcome to provide an assessment of the key physical climate hazards which the vessel will be exposed to over its operating life if deemed relevant. Key physical climate risks and indicators of these risks</w:t>
      </w:r>
      <w:r>
        <w:rPr>
          <w:rFonts w:ascii="Calibri" w:eastAsia="Calibri" w:hAnsi="Calibri" w:cs="Calibri"/>
          <w:color w:val="000000"/>
        </w:rPr>
        <w:t xml:space="preserve"> can include:  </w:t>
      </w:r>
    </w:p>
    <w:p w14:paraId="000004FE" w14:textId="77777777" w:rsidR="001E40A1" w:rsidRDefault="007A044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Rising temperatures leading to Melting Ice, Large Variations (Spatial and temporal), Frequent freeze and thaw cycles, may damage infrastructure, equipment or cargo. </w:t>
      </w:r>
    </w:p>
    <w:p w14:paraId="000004FF" w14:textId="77777777" w:rsidR="001E40A1" w:rsidRDefault="007A0446">
      <w:pPr>
        <w:numPr>
          <w:ilvl w:val="0"/>
          <w:numId w:val="2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Extreme Weather Conditions such as Hurricanes, Storms, Floods, Increased precipitation and</w:t>
      </w:r>
      <w:r>
        <w:rPr>
          <w:rFonts w:ascii="Calibri" w:eastAsia="Calibri" w:hAnsi="Calibri" w:cs="Calibri"/>
          <w:color w:val="000000"/>
        </w:rPr>
        <w:t xml:space="preserve"> Wind, may damage infrastructure, equipment or cargo, and lead to reduced safety and sailing conditions which compromise service reliability. </w:t>
      </w:r>
    </w:p>
    <w:p w14:paraId="00000500" w14:textId="77777777" w:rsidR="001E40A1" w:rsidRDefault="001E40A1">
      <w:pPr>
        <w:rPr>
          <w:rFonts w:ascii="Calibri" w:eastAsia="Calibri" w:hAnsi="Calibri" w:cs="Calibri"/>
          <w:color w:val="000000"/>
        </w:rPr>
      </w:pPr>
    </w:p>
    <w:p w14:paraId="00000501" w14:textId="77777777" w:rsidR="001E40A1" w:rsidRDefault="007A0446">
      <w:pPr>
        <w:jc w:val="both"/>
        <w:rPr>
          <w:rFonts w:ascii="Calibri" w:eastAsia="Calibri" w:hAnsi="Calibri" w:cs="Calibri"/>
          <w:color w:val="000000"/>
        </w:rPr>
      </w:pPr>
      <w:r>
        <w:rPr>
          <w:rFonts w:ascii="Calibri" w:eastAsia="Calibri" w:hAnsi="Calibri" w:cs="Calibri"/>
          <w:color w:val="000000"/>
        </w:rPr>
        <w:t>As this information is Optional guidance for forecasting climate related risk, Issuers can use a broad range of models to generate climate scenarios, that may be based on Representative Concentration Pathways (RCP), or a worst-case scenario basis. Risks ca</w:t>
      </w:r>
      <w:r>
        <w:rPr>
          <w:rFonts w:ascii="Calibri" w:eastAsia="Calibri" w:hAnsi="Calibri" w:cs="Calibri"/>
          <w:color w:val="000000"/>
        </w:rPr>
        <w:t>n be characterized by the associated annual probability of failure or annual costs of loss or damage. The following linguistic guidance can be used to help issuers characterise the consequences that may fall upon the operations of a certified asset as a re</w:t>
      </w:r>
      <w:r>
        <w:rPr>
          <w:rFonts w:ascii="Calibri" w:eastAsia="Calibri" w:hAnsi="Calibri" w:cs="Calibri"/>
          <w:color w:val="000000"/>
        </w:rPr>
        <w:t xml:space="preserve">sult of climate risk: </w:t>
      </w:r>
    </w:p>
    <w:p w14:paraId="00000502" w14:textId="77777777" w:rsidR="001E40A1" w:rsidRDefault="007A0446">
      <w:pPr>
        <w:pStyle w:val="Heading1"/>
        <w:rPr>
          <w:rFonts w:ascii="Calibri" w:eastAsia="Calibri" w:hAnsi="Calibri" w:cs="Calibri"/>
          <w:sz w:val="20"/>
          <w:szCs w:val="20"/>
        </w:rPr>
      </w:pPr>
      <w:bookmarkStart w:id="55" w:name="_heading=h.4k668n3" w:colFirst="0" w:colLast="0"/>
      <w:bookmarkEnd w:id="55"/>
      <w:r>
        <w:rPr>
          <w:rFonts w:ascii="Calibri" w:eastAsia="Calibri" w:hAnsi="Calibri" w:cs="Calibri"/>
          <w:sz w:val="20"/>
          <w:szCs w:val="20"/>
        </w:rPr>
        <w:t>Consequence of risk factor</w:t>
      </w:r>
    </w:p>
    <w:tbl>
      <w:tblPr>
        <w:tblStyle w:val="ac"/>
        <w:tblW w:w="992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51"/>
        <w:gridCol w:w="1939"/>
        <w:gridCol w:w="7633"/>
      </w:tblGrid>
      <w:tr w:rsidR="001E40A1" w14:paraId="386383E4" w14:textId="77777777">
        <w:tc>
          <w:tcPr>
            <w:tcW w:w="351" w:type="dxa"/>
          </w:tcPr>
          <w:p w14:paraId="00000503" w14:textId="77777777" w:rsidR="001E40A1" w:rsidRDefault="007A0446">
            <w:pPr>
              <w:rPr>
                <w:rFonts w:ascii="Calibri" w:eastAsia="Calibri" w:hAnsi="Calibri" w:cs="Calibri"/>
                <w:color w:val="000000"/>
              </w:rPr>
            </w:pPr>
            <w:r>
              <w:rPr>
                <w:rFonts w:ascii="Calibri" w:eastAsia="Calibri" w:hAnsi="Calibri" w:cs="Calibri"/>
                <w:color w:val="000000"/>
              </w:rPr>
              <w:t>1</w:t>
            </w:r>
          </w:p>
        </w:tc>
        <w:tc>
          <w:tcPr>
            <w:tcW w:w="1939" w:type="dxa"/>
          </w:tcPr>
          <w:p w14:paraId="00000504" w14:textId="77777777" w:rsidR="001E40A1" w:rsidRDefault="007A0446">
            <w:pPr>
              <w:widowControl w:val="0"/>
              <w:ind w:right="-73"/>
              <w:rPr>
                <w:rFonts w:ascii="Calibri" w:eastAsia="Calibri" w:hAnsi="Calibri" w:cs="Calibri"/>
                <w:i/>
                <w:color w:val="000000"/>
              </w:rPr>
            </w:pPr>
            <w:bookmarkStart w:id="56" w:name="_heading=h.2zbgiuw" w:colFirst="0" w:colLast="0"/>
            <w:bookmarkEnd w:id="56"/>
            <w:r>
              <w:rPr>
                <w:rFonts w:ascii="Calibri" w:eastAsia="Calibri" w:hAnsi="Calibri" w:cs="Calibri"/>
                <w:i/>
                <w:color w:val="000000"/>
              </w:rPr>
              <w:t>Time delay/Disruption</w:t>
            </w:r>
          </w:p>
        </w:tc>
        <w:tc>
          <w:tcPr>
            <w:tcW w:w="7633" w:type="dxa"/>
          </w:tcPr>
          <w:p w14:paraId="00000505" w14:textId="77777777" w:rsidR="001E40A1" w:rsidRDefault="007A0446">
            <w:pPr>
              <w:widowControl w:val="0"/>
              <w:ind w:right="-73"/>
              <w:rPr>
                <w:rFonts w:ascii="Calibri" w:eastAsia="Calibri" w:hAnsi="Calibri" w:cs="Calibri"/>
                <w:color w:val="000000"/>
              </w:rPr>
            </w:pPr>
            <w:bookmarkStart w:id="57" w:name="_heading=h.1egqt2p" w:colFirst="0" w:colLast="0"/>
            <w:bookmarkEnd w:id="57"/>
            <w:r>
              <w:rPr>
                <w:rFonts w:ascii="Calibri" w:eastAsia="Calibri" w:hAnsi="Calibri" w:cs="Calibri"/>
                <w:color w:val="000000"/>
              </w:rPr>
              <w:t>The severity of time delays varies significantly, depending on the types of cargo being transported. For example, a shipping delay of time- and temperature-sensitive products will ha</w:t>
            </w:r>
            <w:r>
              <w:rPr>
                <w:rFonts w:ascii="Calibri" w:eastAsia="Calibri" w:hAnsi="Calibri" w:cs="Calibri"/>
                <w:color w:val="000000"/>
              </w:rPr>
              <w:t>ve more severe consequences than that of normal goods. Here, disruption might be identified as a breakdown in a maritime supply chain, where the minimum requirements cannot be achieved.</w:t>
            </w:r>
          </w:p>
        </w:tc>
      </w:tr>
      <w:tr w:rsidR="001E40A1" w14:paraId="5CC78317" w14:textId="77777777">
        <w:tc>
          <w:tcPr>
            <w:tcW w:w="351" w:type="dxa"/>
          </w:tcPr>
          <w:p w14:paraId="00000506" w14:textId="77777777" w:rsidR="001E40A1" w:rsidRDefault="007A0446">
            <w:pPr>
              <w:widowControl w:val="0"/>
              <w:ind w:right="-73"/>
              <w:rPr>
                <w:rFonts w:ascii="Calibri" w:eastAsia="Calibri" w:hAnsi="Calibri" w:cs="Calibri"/>
                <w:i/>
                <w:color w:val="000000"/>
              </w:rPr>
            </w:pPr>
            <w:bookmarkStart w:id="58" w:name="_heading=h.3ygebqi" w:colFirst="0" w:colLast="0"/>
            <w:bookmarkEnd w:id="58"/>
            <w:r>
              <w:rPr>
                <w:rFonts w:ascii="Calibri" w:eastAsia="Calibri" w:hAnsi="Calibri" w:cs="Calibri"/>
                <w:i/>
                <w:color w:val="000000"/>
              </w:rPr>
              <w:t>2</w:t>
            </w:r>
          </w:p>
        </w:tc>
        <w:tc>
          <w:tcPr>
            <w:tcW w:w="1939" w:type="dxa"/>
          </w:tcPr>
          <w:p w14:paraId="00000507" w14:textId="77777777" w:rsidR="001E40A1" w:rsidRDefault="007A0446">
            <w:pPr>
              <w:widowControl w:val="0"/>
              <w:ind w:right="-73"/>
              <w:rPr>
                <w:rFonts w:ascii="Calibri" w:eastAsia="Calibri" w:hAnsi="Calibri" w:cs="Calibri"/>
                <w:i/>
                <w:color w:val="000000"/>
              </w:rPr>
            </w:pPr>
            <w:bookmarkStart w:id="59" w:name="_heading=h.2dlolyb" w:colFirst="0" w:colLast="0"/>
            <w:bookmarkEnd w:id="59"/>
            <w:r>
              <w:rPr>
                <w:rFonts w:ascii="Calibri" w:eastAsia="Calibri" w:hAnsi="Calibri" w:cs="Calibri"/>
                <w:i/>
                <w:color w:val="000000"/>
              </w:rPr>
              <w:t>Damage to quality</w:t>
            </w:r>
          </w:p>
        </w:tc>
        <w:tc>
          <w:tcPr>
            <w:tcW w:w="7633" w:type="dxa"/>
          </w:tcPr>
          <w:p w14:paraId="00000508" w14:textId="77777777" w:rsidR="001E40A1" w:rsidRDefault="007A0446">
            <w:pPr>
              <w:widowControl w:val="0"/>
              <w:ind w:right="-73"/>
              <w:rPr>
                <w:rFonts w:ascii="Calibri" w:eastAsia="Calibri" w:hAnsi="Calibri" w:cs="Calibri"/>
                <w:color w:val="000000"/>
              </w:rPr>
            </w:pPr>
            <w:bookmarkStart w:id="60" w:name="_heading=h.sqyw64" w:colFirst="0" w:colLast="0"/>
            <w:bookmarkEnd w:id="60"/>
            <w:r>
              <w:rPr>
                <w:rFonts w:ascii="Calibri" w:eastAsia="Calibri" w:hAnsi="Calibri" w:cs="Calibri"/>
                <w:color w:val="000000"/>
              </w:rPr>
              <w:t xml:space="preserve">Damage to any component within a maritime supply </w:t>
            </w:r>
            <w:r>
              <w:rPr>
                <w:rFonts w:ascii="Calibri" w:eastAsia="Calibri" w:hAnsi="Calibri" w:cs="Calibri"/>
                <w:color w:val="000000"/>
              </w:rPr>
              <w:t>chain, including transported goods, port infrastructure, crew, and vessels.</w:t>
            </w:r>
          </w:p>
        </w:tc>
      </w:tr>
      <w:tr w:rsidR="001E40A1" w14:paraId="6CFCEB36" w14:textId="77777777">
        <w:tc>
          <w:tcPr>
            <w:tcW w:w="351" w:type="dxa"/>
            <w:tcBorders>
              <w:bottom w:val="single" w:sz="12" w:space="0" w:color="000000"/>
            </w:tcBorders>
          </w:tcPr>
          <w:p w14:paraId="00000509" w14:textId="77777777" w:rsidR="001E40A1" w:rsidRDefault="007A0446">
            <w:pPr>
              <w:widowControl w:val="0"/>
              <w:ind w:right="-73"/>
              <w:rPr>
                <w:rFonts w:ascii="Calibri" w:eastAsia="Calibri" w:hAnsi="Calibri" w:cs="Calibri"/>
                <w:i/>
                <w:color w:val="000000"/>
              </w:rPr>
            </w:pPr>
            <w:bookmarkStart w:id="61" w:name="_heading=h.3cqmetx" w:colFirst="0" w:colLast="0"/>
            <w:bookmarkEnd w:id="61"/>
            <w:r>
              <w:rPr>
                <w:rFonts w:ascii="Calibri" w:eastAsia="Calibri" w:hAnsi="Calibri" w:cs="Calibri"/>
                <w:i/>
                <w:color w:val="000000"/>
              </w:rPr>
              <w:t>3</w:t>
            </w:r>
          </w:p>
        </w:tc>
        <w:tc>
          <w:tcPr>
            <w:tcW w:w="1939" w:type="dxa"/>
            <w:tcBorders>
              <w:bottom w:val="single" w:sz="12" w:space="0" w:color="000000"/>
            </w:tcBorders>
          </w:tcPr>
          <w:p w14:paraId="0000050A" w14:textId="77777777" w:rsidR="001E40A1" w:rsidRDefault="007A0446">
            <w:pPr>
              <w:widowControl w:val="0"/>
              <w:ind w:right="-73"/>
              <w:rPr>
                <w:rFonts w:ascii="Calibri" w:eastAsia="Calibri" w:hAnsi="Calibri" w:cs="Calibri"/>
                <w:i/>
                <w:color w:val="000000"/>
              </w:rPr>
            </w:pPr>
            <w:bookmarkStart w:id="62" w:name="_heading=h.1rvwp1q" w:colFirst="0" w:colLast="0"/>
            <w:bookmarkEnd w:id="62"/>
            <w:r>
              <w:rPr>
                <w:rFonts w:ascii="Calibri" w:eastAsia="Calibri" w:hAnsi="Calibri" w:cs="Calibri"/>
                <w:i/>
                <w:color w:val="000000"/>
              </w:rPr>
              <w:t>Additional running cost/ Financial Loss</w:t>
            </w:r>
          </w:p>
        </w:tc>
        <w:tc>
          <w:tcPr>
            <w:tcW w:w="7633" w:type="dxa"/>
            <w:tcBorders>
              <w:bottom w:val="single" w:sz="12" w:space="0" w:color="000000"/>
            </w:tcBorders>
          </w:tcPr>
          <w:p w14:paraId="0000050B" w14:textId="77777777" w:rsidR="001E40A1" w:rsidRDefault="007A0446">
            <w:pPr>
              <w:widowControl w:val="0"/>
              <w:ind w:right="-73"/>
              <w:rPr>
                <w:rFonts w:ascii="Calibri" w:eastAsia="Calibri" w:hAnsi="Calibri" w:cs="Calibri"/>
                <w:color w:val="000000"/>
              </w:rPr>
            </w:pPr>
            <w:bookmarkStart w:id="63" w:name="_heading=h.4bvk7pj" w:colFirst="0" w:colLast="0"/>
            <w:bookmarkEnd w:id="63"/>
            <w:r>
              <w:rPr>
                <w:rFonts w:ascii="Calibri" w:eastAsia="Calibri" w:hAnsi="Calibri" w:cs="Calibri"/>
                <w:color w:val="000000"/>
              </w:rPr>
              <w:t>Additional costs include costs associated with additional operations and management (such as additional inventory costs and production costs), and fees attributable to risk drivers.</w:t>
            </w:r>
          </w:p>
        </w:tc>
      </w:tr>
    </w:tbl>
    <w:p w14:paraId="0000050C" w14:textId="77777777" w:rsidR="001E40A1" w:rsidRDefault="001E40A1">
      <w:pPr>
        <w:rPr>
          <w:rFonts w:ascii="Calibri" w:eastAsia="Calibri" w:hAnsi="Calibri" w:cs="Calibri"/>
          <w:color w:val="000000"/>
        </w:rPr>
      </w:pPr>
    </w:p>
    <w:p w14:paraId="0000050D" w14:textId="77777777" w:rsidR="001E40A1" w:rsidRDefault="007A0446">
      <w:pPr>
        <w:rPr>
          <w:rFonts w:ascii="Calibri" w:eastAsia="Calibri" w:hAnsi="Calibri" w:cs="Calibri"/>
          <w:color w:val="000000"/>
        </w:rPr>
      </w:pPr>
      <w:r>
        <w:rPr>
          <w:rFonts w:ascii="Calibri" w:eastAsia="Calibri" w:hAnsi="Calibri" w:cs="Calibri"/>
          <w:color w:val="000000"/>
        </w:rPr>
        <w:t>The following linguistic guidance can be used to help issuers explain th</w:t>
      </w:r>
      <w:r>
        <w:rPr>
          <w:rFonts w:ascii="Calibri" w:eastAsia="Calibri" w:hAnsi="Calibri" w:cs="Calibri"/>
          <w:color w:val="000000"/>
        </w:rPr>
        <w:t xml:space="preserve">e severity of the disruption/effect of the risk factor: </w:t>
      </w:r>
    </w:p>
    <w:p w14:paraId="0000050E" w14:textId="77777777" w:rsidR="001E40A1" w:rsidRDefault="007A0446">
      <w:pPr>
        <w:pStyle w:val="Heading1"/>
        <w:rPr>
          <w:rFonts w:ascii="Calibri" w:eastAsia="Calibri" w:hAnsi="Calibri" w:cs="Calibri"/>
          <w:sz w:val="20"/>
          <w:szCs w:val="20"/>
        </w:rPr>
      </w:pPr>
      <w:bookmarkStart w:id="64" w:name="_heading=h.2r0uhxc" w:colFirst="0" w:colLast="0"/>
      <w:bookmarkEnd w:id="64"/>
      <w:r>
        <w:rPr>
          <w:rFonts w:ascii="Calibri" w:eastAsia="Calibri" w:hAnsi="Calibri" w:cs="Calibri"/>
          <w:sz w:val="20"/>
          <w:szCs w:val="20"/>
        </w:rPr>
        <w:t>Severity of effect</w:t>
      </w:r>
    </w:p>
    <w:tbl>
      <w:tblPr>
        <w:tblStyle w:val="ad"/>
        <w:tblW w:w="90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68"/>
        <w:gridCol w:w="1134"/>
        <w:gridCol w:w="5618"/>
      </w:tblGrid>
      <w:tr w:rsidR="001E40A1" w14:paraId="3DD85900" w14:textId="77777777">
        <w:trPr>
          <w:trHeight w:val="144"/>
        </w:trPr>
        <w:tc>
          <w:tcPr>
            <w:tcW w:w="2268" w:type="dxa"/>
          </w:tcPr>
          <w:p w14:paraId="0000050F" w14:textId="77777777" w:rsidR="001E40A1" w:rsidRDefault="001E40A1">
            <w:pPr>
              <w:widowControl w:val="0"/>
              <w:ind w:right="-73"/>
              <w:rPr>
                <w:rFonts w:ascii="Calibri" w:eastAsia="Calibri" w:hAnsi="Calibri" w:cs="Calibri"/>
                <w:i/>
              </w:rPr>
            </w:pPr>
          </w:p>
        </w:tc>
        <w:tc>
          <w:tcPr>
            <w:tcW w:w="1134" w:type="dxa"/>
          </w:tcPr>
          <w:p w14:paraId="00000510" w14:textId="77777777" w:rsidR="001E40A1" w:rsidRDefault="001E40A1">
            <w:pPr>
              <w:widowControl w:val="0"/>
              <w:ind w:right="-73"/>
              <w:rPr>
                <w:rFonts w:ascii="Calibri" w:eastAsia="Calibri" w:hAnsi="Calibri" w:cs="Calibri"/>
                <w:i/>
              </w:rPr>
            </w:pPr>
          </w:p>
        </w:tc>
        <w:tc>
          <w:tcPr>
            <w:tcW w:w="5618" w:type="dxa"/>
          </w:tcPr>
          <w:p w14:paraId="00000511" w14:textId="77777777" w:rsidR="001E40A1" w:rsidRDefault="001E40A1">
            <w:pPr>
              <w:widowControl w:val="0"/>
              <w:ind w:right="-73"/>
              <w:rPr>
                <w:rFonts w:ascii="Calibri" w:eastAsia="Calibri" w:hAnsi="Calibri" w:cs="Calibri"/>
              </w:rPr>
            </w:pPr>
          </w:p>
        </w:tc>
      </w:tr>
      <w:tr w:rsidR="001E40A1" w14:paraId="2FDB1B82" w14:textId="77777777">
        <w:tc>
          <w:tcPr>
            <w:tcW w:w="2268" w:type="dxa"/>
            <w:vMerge w:val="restart"/>
          </w:tcPr>
          <w:p w14:paraId="00000512" w14:textId="77777777" w:rsidR="001E40A1" w:rsidRDefault="007A0446">
            <w:pPr>
              <w:widowControl w:val="0"/>
              <w:ind w:right="-73"/>
              <w:rPr>
                <w:rFonts w:ascii="Calibri" w:eastAsia="Calibri" w:hAnsi="Calibri" w:cs="Calibri"/>
                <w:i/>
              </w:rPr>
            </w:pPr>
            <w:bookmarkStart w:id="65" w:name="_heading=h.1664s55" w:colFirst="0" w:colLast="0"/>
            <w:bookmarkEnd w:id="65"/>
            <w:r>
              <w:rPr>
                <w:rFonts w:ascii="Calibri" w:eastAsia="Calibri" w:hAnsi="Calibri" w:cs="Calibri"/>
                <w:i/>
                <w:color w:val="000000"/>
              </w:rPr>
              <w:t>Delay/Disruption</w:t>
            </w:r>
          </w:p>
        </w:tc>
        <w:tc>
          <w:tcPr>
            <w:tcW w:w="1134" w:type="dxa"/>
          </w:tcPr>
          <w:p w14:paraId="00000513" w14:textId="77777777" w:rsidR="001E40A1" w:rsidRDefault="007A0446">
            <w:pPr>
              <w:widowControl w:val="0"/>
              <w:ind w:right="-73"/>
              <w:rPr>
                <w:rFonts w:ascii="Calibri" w:eastAsia="Calibri" w:hAnsi="Calibri" w:cs="Calibri"/>
                <w:i/>
              </w:rPr>
            </w:pPr>
            <w:bookmarkStart w:id="66" w:name="_heading=h.3q5sasy" w:colFirst="0" w:colLast="0"/>
            <w:bookmarkEnd w:id="66"/>
            <w:r>
              <w:rPr>
                <w:rFonts w:ascii="Calibri" w:eastAsia="Calibri" w:hAnsi="Calibri" w:cs="Calibri"/>
                <w:i/>
              </w:rPr>
              <w:t>Low</w:t>
            </w:r>
          </w:p>
        </w:tc>
        <w:tc>
          <w:tcPr>
            <w:tcW w:w="5618" w:type="dxa"/>
          </w:tcPr>
          <w:p w14:paraId="00000514" w14:textId="77777777" w:rsidR="001E40A1" w:rsidRDefault="007A0446">
            <w:pPr>
              <w:widowControl w:val="0"/>
              <w:ind w:right="-73"/>
              <w:rPr>
                <w:rFonts w:ascii="Calibri" w:eastAsia="Calibri" w:hAnsi="Calibri" w:cs="Calibri"/>
              </w:rPr>
            </w:pPr>
            <w:bookmarkStart w:id="67" w:name="_heading=h.25b2l0r" w:colFirst="0" w:colLast="0"/>
            <w:bookmarkEnd w:id="67"/>
            <w:r>
              <w:rPr>
                <w:rFonts w:ascii="Calibri" w:eastAsia="Calibri" w:hAnsi="Calibri" w:cs="Calibri"/>
              </w:rPr>
              <w:t>A delay of fewer than 24 hrs in total.</w:t>
            </w:r>
          </w:p>
        </w:tc>
      </w:tr>
      <w:tr w:rsidR="001E40A1" w14:paraId="03BB2126" w14:textId="77777777">
        <w:tc>
          <w:tcPr>
            <w:tcW w:w="2268" w:type="dxa"/>
            <w:vMerge/>
          </w:tcPr>
          <w:p w14:paraId="00000515" w14:textId="77777777" w:rsidR="001E40A1" w:rsidRDefault="001E40A1">
            <w:pPr>
              <w:widowControl w:val="0"/>
              <w:spacing w:line="276" w:lineRule="auto"/>
              <w:rPr>
                <w:rFonts w:ascii="Calibri" w:eastAsia="Calibri" w:hAnsi="Calibri" w:cs="Calibri"/>
              </w:rPr>
            </w:pPr>
          </w:p>
        </w:tc>
        <w:tc>
          <w:tcPr>
            <w:tcW w:w="1134" w:type="dxa"/>
          </w:tcPr>
          <w:p w14:paraId="00000516" w14:textId="77777777" w:rsidR="001E40A1" w:rsidRDefault="007A0446">
            <w:pPr>
              <w:widowControl w:val="0"/>
              <w:ind w:right="-73"/>
              <w:rPr>
                <w:rFonts w:ascii="Calibri" w:eastAsia="Calibri" w:hAnsi="Calibri" w:cs="Calibri"/>
                <w:i/>
              </w:rPr>
            </w:pPr>
            <w:bookmarkStart w:id="68" w:name="_heading=h.kgcv8k" w:colFirst="0" w:colLast="0"/>
            <w:bookmarkEnd w:id="68"/>
            <w:r>
              <w:rPr>
                <w:rFonts w:ascii="Calibri" w:eastAsia="Calibri" w:hAnsi="Calibri" w:cs="Calibri"/>
                <w:i/>
              </w:rPr>
              <w:t>Medium</w:t>
            </w:r>
          </w:p>
        </w:tc>
        <w:tc>
          <w:tcPr>
            <w:tcW w:w="5618" w:type="dxa"/>
          </w:tcPr>
          <w:p w14:paraId="00000517" w14:textId="77777777" w:rsidR="001E40A1" w:rsidRDefault="007A0446">
            <w:pPr>
              <w:widowControl w:val="0"/>
              <w:ind w:right="-73"/>
              <w:rPr>
                <w:rFonts w:ascii="Calibri" w:eastAsia="Calibri" w:hAnsi="Calibri" w:cs="Calibri"/>
              </w:rPr>
            </w:pPr>
            <w:bookmarkStart w:id="69" w:name="_heading=h.34g0dwd" w:colFirst="0" w:colLast="0"/>
            <w:bookmarkEnd w:id="69"/>
            <w:r>
              <w:rPr>
                <w:rFonts w:ascii="Calibri" w:eastAsia="Calibri" w:hAnsi="Calibri" w:cs="Calibri"/>
              </w:rPr>
              <w:t>A delay but no more than 20% of the original schedule.</w:t>
            </w:r>
          </w:p>
        </w:tc>
      </w:tr>
      <w:tr w:rsidR="001E40A1" w14:paraId="3CF356E4" w14:textId="77777777">
        <w:tc>
          <w:tcPr>
            <w:tcW w:w="2268" w:type="dxa"/>
            <w:vMerge/>
          </w:tcPr>
          <w:p w14:paraId="00000518" w14:textId="77777777" w:rsidR="001E40A1" w:rsidRDefault="001E40A1">
            <w:pPr>
              <w:widowControl w:val="0"/>
              <w:spacing w:line="276" w:lineRule="auto"/>
              <w:rPr>
                <w:rFonts w:ascii="Calibri" w:eastAsia="Calibri" w:hAnsi="Calibri" w:cs="Calibri"/>
              </w:rPr>
            </w:pPr>
          </w:p>
        </w:tc>
        <w:tc>
          <w:tcPr>
            <w:tcW w:w="1134" w:type="dxa"/>
          </w:tcPr>
          <w:p w14:paraId="00000519" w14:textId="77777777" w:rsidR="001E40A1" w:rsidRDefault="007A0446">
            <w:pPr>
              <w:widowControl w:val="0"/>
              <w:ind w:right="-73"/>
              <w:rPr>
                <w:rFonts w:ascii="Calibri" w:eastAsia="Calibri" w:hAnsi="Calibri" w:cs="Calibri"/>
                <w:i/>
              </w:rPr>
            </w:pPr>
            <w:bookmarkStart w:id="70" w:name="_heading=h.1jlao46" w:colFirst="0" w:colLast="0"/>
            <w:bookmarkEnd w:id="70"/>
            <w:r>
              <w:rPr>
                <w:rFonts w:ascii="Calibri" w:eastAsia="Calibri" w:hAnsi="Calibri" w:cs="Calibri"/>
                <w:i/>
              </w:rPr>
              <w:t>High</w:t>
            </w:r>
          </w:p>
        </w:tc>
        <w:tc>
          <w:tcPr>
            <w:tcW w:w="5618" w:type="dxa"/>
          </w:tcPr>
          <w:p w14:paraId="0000051A" w14:textId="77777777" w:rsidR="001E40A1" w:rsidRDefault="007A0446">
            <w:pPr>
              <w:widowControl w:val="0"/>
              <w:ind w:right="-73"/>
              <w:rPr>
                <w:rFonts w:ascii="Calibri" w:eastAsia="Calibri" w:hAnsi="Calibri" w:cs="Calibri"/>
              </w:rPr>
            </w:pPr>
            <w:bookmarkStart w:id="71" w:name="_heading=h.43ky6rz" w:colFirst="0" w:colLast="0"/>
            <w:bookmarkEnd w:id="71"/>
            <w:r>
              <w:rPr>
                <w:rFonts w:ascii="Calibri" w:eastAsia="Calibri" w:hAnsi="Calibri" w:cs="Calibri"/>
              </w:rPr>
              <w:t>A delay of more than 20% of the original schedule.</w:t>
            </w:r>
          </w:p>
        </w:tc>
      </w:tr>
      <w:tr w:rsidR="001E40A1" w14:paraId="5E59497C" w14:textId="77777777">
        <w:trPr>
          <w:trHeight w:val="144"/>
        </w:trPr>
        <w:tc>
          <w:tcPr>
            <w:tcW w:w="2268" w:type="dxa"/>
          </w:tcPr>
          <w:p w14:paraId="0000051B" w14:textId="77777777" w:rsidR="001E40A1" w:rsidRDefault="001E40A1">
            <w:pPr>
              <w:widowControl w:val="0"/>
              <w:ind w:right="-73"/>
              <w:rPr>
                <w:rFonts w:ascii="Calibri" w:eastAsia="Calibri" w:hAnsi="Calibri" w:cs="Calibri"/>
                <w:i/>
              </w:rPr>
            </w:pPr>
          </w:p>
        </w:tc>
        <w:tc>
          <w:tcPr>
            <w:tcW w:w="1134" w:type="dxa"/>
          </w:tcPr>
          <w:p w14:paraId="0000051C" w14:textId="77777777" w:rsidR="001E40A1" w:rsidRDefault="001E40A1">
            <w:pPr>
              <w:widowControl w:val="0"/>
              <w:ind w:right="-73"/>
              <w:rPr>
                <w:rFonts w:ascii="Calibri" w:eastAsia="Calibri" w:hAnsi="Calibri" w:cs="Calibri"/>
                <w:i/>
              </w:rPr>
            </w:pPr>
          </w:p>
        </w:tc>
        <w:tc>
          <w:tcPr>
            <w:tcW w:w="5618" w:type="dxa"/>
          </w:tcPr>
          <w:p w14:paraId="0000051D" w14:textId="77777777" w:rsidR="001E40A1" w:rsidRDefault="001E40A1">
            <w:pPr>
              <w:widowControl w:val="0"/>
              <w:ind w:right="-73"/>
              <w:rPr>
                <w:rFonts w:ascii="Calibri" w:eastAsia="Calibri" w:hAnsi="Calibri" w:cs="Calibri"/>
              </w:rPr>
            </w:pPr>
          </w:p>
        </w:tc>
      </w:tr>
      <w:tr w:rsidR="001E40A1" w14:paraId="22650007" w14:textId="77777777">
        <w:tc>
          <w:tcPr>
            <w:tcW w:w="2268" w:type="dxa"/>
            <w:vMerge w:val="restart"/>
          </w:tcPr>
          <w:p w14:paraId="0000051E" w14:textId="77777777" w:rsidR="001E40A1" w:rsidRDefault="007A0446">
            <w:pPr>
              <w:widowControl w:val="0"/>
              <w:ind w:right="-73"/>
              <w:rPr>
                <w:rFonts w:ascii="Calibri" w:eastAsia="Calibri" w:hAnsi="Calibri" w:cs="Calibri"/>
                <w:i/>
              </w:rPr>
            </w:pPr>
            <w:bookmarkStart w:id="72" w:name="_heading=h.2iq8gzs" w:colFirst="0" w:colLast="0"/>
            <w:bookmarkEnd w:id="72"/>
            <w:r>
              <w:rPr>
                <w:rFonts w:ascii="Calibri" w:eastAsia="Calibri" w:hAnsi="Calibri" w:cs="Calibri"/>
                <w:i/>
              </w:rPr>
              <w:t>Damage to quality</w:t>
            </w:r>
          </w:p>
        </w:tc>
        <w:tc>
          <w:tcPr>
            <w:tcW w:w="1134" w:type="dxa"/>
          </w:tcPr>
          <w:p w14:paraId="0000051F" w14:textId="77777777" w:rsidR="001E40A1" w:rsidRDefault="007A0446">
            <w:pPr>
              <w:widowControl w:val="0"/>
              <w:ind w:right="-73"/>
              <w:rPr>
                <w:rFonts w:ascii="Calibri" w:eastAsia="Calibri" w:hAnsi="Calibri" w:cs="Calibri"/>
                <w:i/>
              </w:rPr>
            </w:pPr>
            <w:bookmarkStart w:id="73" w:name="_heading=h.xvir7l" w:colFirst="0" w:colLast="0"/>
            <w:bookmarkEnd w:id="73"/>
            <w:r>
              <w:rPr>
                <w:rFonts w:ascii="Calibri" w:eastAsia="Calibri" w:hAnsi="Calibri" w:cs="Calibri"/>
                <w:i/>
              </w:rPr>
              <w:t>Low</w:t>
            </w:r>
          </w:p>
        </w:tc>
        <w:tc>
          <w:tcPr>
            <w:tcW w:w="5618" w:type="dxa"/>
          </w:tcPr>
          <w:p w14:paraId="00000520" w14:textId="77777777" w:rsidR="001E40A1" w:rsidRDefault="007A0446">
            <w:pPr>
              <w:widowControl w:val="0"/>
              <w:ind w:right="-73"/>
              <w:rPr>
                <w:rFonts w:ascii="Calibri" w:eastAsia="Calibri" w:hAnsi="Calibri" w:cs="Calibri"/>
              </w:rPr>
            </w:pPr>
            <w:bookmarkStart w:id="74" w:name="_heading=h.3hv69ve" w:colFirst="0" w:colLast="0"/>
            <w:bookmarkEnd w:id="74"/>
            <w:r>
              <w:rPr>
                <w:rFonts w:ascii="Calibri" w:eastAsia="Calibri" w:hAnsi="Calibri" w:cs="Calibri"/>
              </w:rPr>
              <w:t>Near miss or slight crew, cargo, equipment, or system damage but fully functional and serviceable.</w:t>
            </w:r>
          </w:p>
        </w:tc>
      </w:tr>
      <w:tr w:rsidR="001E40A1" w14:paraId="17BEC830" w14:textId="77777777">
        <w:tc>
          <w:tcPr>
            <w:tcW w:w="2268" w:type="dxa"/>
            <w:vMerge/>
          </w:tcPr>
          <w:p w14:paraId="00000521" w14:textId="77777777" w:rsidR="001E40A1" w:rsidRDefault="001E40A1">
            <w:pPr>
              <w:widowControl w:val="0"/>
              <w:spacing w:line="276" w:lineRule="auto"/>
              <w:rPr>
                <w:rFonts w:ascii="Calibri" w:eastAsia="Calibri" w:hAnsi="Calibri" w:cs="Calibri"/>
              </w:rPr>
            </w:pPr>
          </w:p>
        </w:tc>
        <w:tc>
          <w:tcPr>
            <w:tcW w:w="1134" w:type="dxa"/>
          </w:tcPr>
          <w:p w14:paraId="00000522" w14:textId="77777777" w:rsidR="001E40A1" w:rsidRDefault="007A0446">
            <w:pPr>
              <w:widowControl w:val="0"/>
              <w:ind w:right="-73"/>
              <w:rPr>
                <w:rFonts w:ascii="Calibri" w:eastAsia="Calibri" w:hAnsi="Calibri" w:cs="Calibri"/>
                <w:i/>
              </w:rPr>
            </w:pPr>
            <w:bookmarkStart w:id="75" w:name="_heading=h.1x0gk37" w:colFirst="0" w:colLast="0"/>
            <w:bookmarkEnd w:id="75"/>
            <w:r>
              <w:rPr>
                <w:rFonts w:ascii="Calibri" w:eastAsia="Calibri" w:hAnsi="Calibri" w:cs="Calibri"/>
                <w:i/>
              </w:rPr>
              <w:t>Medium</w:t>
            </w:r>
          </w:p>
        </w:tc>
        <w:tc>
          <w:tcPr>
            <w:tcW w:w="5618" w:type="dxa"/>
          </w:tcPr>
          <w:p w14:paraId="00000523" w14:textId="77777777" w:rsidR="001E40A1" w:rsidRDefault="007A0446">
            <w:pPr>
              <w:widowControl w:val="0"/>
              <w:ind w:right="-73"/>
              <w:rPr>
                <w:rFonts w:ascii="Calibri" w:eastAsia="Calibri" w:hAnsi="Calibri" w:cs="Calibri"/>
              </w:rPr>
            </w:pPr>
            <w:bookmarkStart w:id="76" w:name="_heading=h.4h042r0" w:colFirst="0" w:colLast="0"/>
            <w:bookmarkEnd w:id="76"/>
            <w:r>
              <w:rPr>
                <w:rFonts w:ascii="Calibri" w:eastAsia="Calibri" w:hAnsi="Calibri" w:cs="Calibri"/>
              </w:rPr>
              <w:t>Minor incapability of crew, systems or equipment and a small portion of goods may be damaged.</w:t>
            </w:r>
          </w:p>
        </w:tc>
      </w:tr>
      <w:tr w:rsidR="001E40A1" w14:paraId="0D12A365" w14:textId="77777777">
        <w:tc>
          <w:tcPr>
            <w:tcW w:w="2268" w:type="dxa"/>
            <w:vMerge/>
          </w:tcPr>
          <w:p w14:paraId="00000524" w14:textId="77777777" w:rsidR="001E40A1" w:rsidRDefault="001E40A1">
            <w:pPr>
              <w:widowControl w:val="0"/>
              <w:spacing w:line="276" w:lineRule="auto"/>
              <w:rPr>
                <w:rFonts w:ascii="Calibri" w:eastAsia="Calibri" w:hAnsi="Calibri" w:cs="Calibri"/>
              </w:rPr>
            </w:pPr>
          </w:p>
        </w:tc>
        <w:tc>
          <w:tcPr>
            <w:tcW w:w="1134" w:type="dxa"/>
          </w:tcPr>
          <w:p w14:paraId="00000525" w14:textId="77777777" w:rsidR="001E40A1" w:rsidRDefault="007A0446">
            <w:pPr>
              <w:widowControl w:val="0"/>
              <w:ind w:right="-73"/>
              <w:rPr>
                <w:rFonts w:ascii="Calibri" w:eastAsia="Calibri" w:hAnsi="Calibri" w:cs="Calibri"/>
                <w:i/>
              </w:rPr>
            </w:pPr>
            <w:bookmarkStart w:id="77" w:name="_heading=h.2w5ecyt" w:colFirst="0" w:colLast="0"/>
            <w:bookmarkEnd w:id="77"/>
            <w:r>
              <w:rPr>
                <w:rFonts w:ascii="Calibri" w:eastAsia="Calibri" w:hAnsi="Calibri" w:cs="Calibri"/>
                <w:i/>
              </w:rPr>
              <w:t>High</w:t>
            </w:r>
          </w:p>
        </w:tc>
        <w:tc>
          <w:tcPr>
            <w:tcW w:w="5618" w:type="dxa"/>
          </w:tcPr>
          <w:p w14:paraId="00000526" w14:textId="77777777" w:rsidR="001E40A1" w:rsidRDefault="007A0446">
            <w:pPr>
              <w:widowControl w:val="0"/>
              <w:ind w:right="-73"/>
              <w:rPr>
                <w:rFonts w:ascii="Calibri" w:eastAsia="Calibri" w:hAnsi="Calibri" w:cs="Calibri"/>
              </w:rPr>
            </w:pPr>
            <w:bookmarkStart w:id="78" w:name="_heading=h.1baon6m" w:colFirst="0" w:colLast="0"/>
            <w:bookmarkEnd w:id="78"/>
            <w:r>
              <w:rPr>
                <w:rFonts w:ascii="Calibri" w:eastAsia="Calibri" w:hAnsi="Calibri" w:cs="Calibri"/>
              </w:rPr>
              <w:t>Damage/loss of major crew, systems or equipment</w:t>
            </w:r>
            <w:r>
              <w:rPr>
                <w:rFonts w:ascii="Calibri" w:eastAsia="Calibri" w:hAnsi="Calibri" w:cs="Calibri"/>
              </w:rPr>
              <w:t>, and serious damage to the transported goods.</w:t>
            </w:r>
          </w:p>
        </w:tc>
      </w:tr>
      <w:tr w:rsidR="001E40A1" w14:paraId="1F1317E2" w14:textId="77777777">
        <w:trPr>
          <w:trHeight w:val="144"/>
        </w:trPr>
        <w:tc>
          <w:tcPr>
            <w:tcW w:w="2268" w:type="dxa"/>
          </w:tcPr>
          <w:p w14:paraId="00000527" w14:textId="77777777" w:rsidR="001E40A1" w:rsidRDefault="001E40A1">
            <w:pPr>
              <w:widowControl w:val="0"/>
              <w:ind w:right="-73"/>
              <w:rPr>
                <w:rFonts w:ascii="Calibri" w:eastAsia="Calibri" w:hAnsi="Calibri" w:cs="Calibri"/>
                <w:i/>
              </w:rPr>
            </w:pPr>
          </w:p>
        </w:tc>
        <w:tc>
          <w:tcPr>
            <w:tcW w:w="1134" w:type="dxa"/>
          </w:tcPr>
          <w:p w14:paraId="00000528" w14:textId="77777777" w:rsidR="001E40A1" w:rsidRDefault="001E40A1">
            <w:pPr>
              <w:widowControl w:val="0"/>
              <w:ind w:right="-73"/>
              <w:rPr>
                <w:rFonts w:ascii="Calibri" w:eastAsia="Calibri" w:hAnsi="Calibri" w:cs="Calibri"/>
                <w:i/>
              </w:rPr>
            </w:pPr>
          </w:p>
        </w:tc>
        <w:tc>
          <w:tcPr>
            <w:tcW w:w="5618" w:type="dxa"/>
          </w:tcPr>
          <w:p w14:paraId="00000529" w14:textId="77777777" w:rsidR="001E40A1" w:rsidRDefault="001E40A1">
            <w:pPr>
              <w:widowControl w:val="0"/>
              <w:ind w:right="-73"/>
              <w:rPr>
                <w:rFonts w:ascii="Calibri" w:eastAsia="Calibri" w:hAnsi="Calibri" w:cs="Calibri"/>
              </w:rPr>
            </w:pPr>
          </w:p>
        </w:tc>
      </w:tr>
      <w:tr w:rsidR="001E40A1" w14:paraId="3A8809CD" w14:textId="77777777">
        <w:tc>
          <w:tcPr>
            <w:tcW w:w="2268" w:type="dxa"/>
            <w:vMerge w:val="restart"/>
          </w:tcPr>
          <w:p w14:paraId="0000052A" w14:textId="77777777" w:rsidR="001E40A1" w:rsidRDefault="007A0446">
            <w:pPr>
              <w:widowControl w:val="0"/>
              <w:ind w:right="-73"/>
              <w:rPr>
                <w:rFonts w:ascii="Calibri" w:eastAsia="Calibri" w:hAnsi="Calibri" w:cs="Calibri"/>
                <w:i/>
              </w:rPr>
            </w:pPr>
            <w:bookmarkStart w:id="79" w:name="_heading=h.3vac5uf" w:colFirst="0" w:colLast="0"/>
            <w:bookmarkEnd w:id="79"/>
            <w:r>
              <w:rPr>
                <w:rFonts w:ascii="Calibri" w:eastAsia="Calibri" w:hAnsi="Calibri" w:cs="Calibri"/>
                <w:i/>
              </w:rPr>
              <w:t>Additional running cost/Financial Loss</w:t>
            </w:r>
          </w:p>
        </w:tc>
        <w:tc>
          <w:tcPr>
            <w:tcW w:w="1134" w:type="dxa"/>
          </w:tcPr>
          <w:p w14:paraId="0000052B" w14:textId="77777777" w:rsidR="001E40A1" w:rsidRDefault="007A0446">
            <w:pPr>
              <w:widowControl w:val="0"/>
              <w:ind w:right="-73"/>
              <w:rPr>
                <w:rFonts w:ascii="Calibri" w:eastAsia="Calibri" w:hAnsi="Calibri" w:cs="Calibri"/>
                <w:i/>
              </w:rPr>
            </w:pPr>
            <w:bookmarkStart w:id="80" w:name="_heading=h.2afmg28" w:colFirst="0" w:colLast="0"/>
            <w:bookmarkEnd w:id="80"/>
            <w:r>
              <w:rPr>
                <w:rFonts w:ascii="Calibri" w:eastAsia="Calibri" w:hAnsi="Calibri" w:cs="Calibri"/>
                <w:i/>
              </w:rPr>
              <w:t>Low</w:t>
            </w:r>
          </w:p>
        </w:tc>
        <w:tc>
          <w:tcPr>
            <w:tcW w:w="5618" w:type="dxa"/>
          </w:tcPr>
          <w:p w14:paraId="0000052C" w14:textId="77777777" w:rsidR="001E40A1" w:rsidRDefault="007A0446">
            <w:pPr>
              <w:widowControl w:val="0"/>
              <w:ind w:right="-73"/>
              <w:rPr>
                <w:rFonts w:ascii="Calibri" w:eastAsia="Calibri" w:hAnsi="Calibri" w:cs="Calibri"/>
              </w:rPr>
            </w:pPr>
            <w:bookmarkStart w:id="81" w:name="_heading=h.pkwqa1" w:colFirst="0" w:colLast="0"/>
            <w:bookmarkEnd w:id="81"/>
            <w:r>
              <w:rPr>
                <w:rFonts w:ascii="Calibri" w:eastAsia="Calibri" w:hAnsi="Calibri" w:cs="Calibri"/>
              </w:rPr>
              <w:t>An additional cost no more than 10% of the total cost.</w:t>
            </w:r>
          </w:p>
        </w:tc>
      </w:tr>
      <w:tr w:rsidR="001E40A1" w14:paraId="0FECC901" w14:textId="77777777">
        <w:tc>
          <w:tcPr>
            <w:tcW w:w="2268" w:type="dxa"/>
            <w:vMerge/>
          </w:tcPr>
          <w:p w14:paraId="0000052D" w14:textId="77777777" w:rsidR="001E40A1" w:rsidRDefault="001E40A1">
            <w:pPr>
              <w:widowControl w:val="0"/>
              <w:spacing w:line="276" w:lineRule="auto"/>
              <w:rPr>
                <w:rFonts w:ascii="Calibri" w:eastAsia="Calibri" w:hAnsi="Calibri" w:cs="Calibri"/>
              </w:rPr>
            </w:pPr>
          </w:p>
        </w:tc>
        <w:tc>
          <w:tcPr>
            <w:tcW w:w="1134" w:type="dxa"/>
          </w:tcPr>
          <w:p w14:paraId="0000052E" w14:textId="77777777" w:rsidR="001E40A1" w:rsidRDefault="007A0446">
            <w:pPr>
              <w:widowControl w:val="0"/>
              <w:ind w:right="-73"/>
              <w:rPr>
                <w:rFonts w:ascii="Calibri" w:eastAsia="Calibri" w:hAnsi="Calibri" w:cs="Calibri"/>
                <w:i/>
              </w:rPr>
            </w:pPr>
            <w:bookmarkStart w:id="82" w:name="_heading=h.39kk8xu" w:colFirst="0" w:colLast="0"/>
            <w:bookmarkEnd w:id="82"/>
            <w:r>
              <w:rPr>
                <w:rFonts w:ascii="Calibri" w:eastAsia="Calibri" w:hAnsi="Calibri" w:cs="Calibri"/>
                <w:i/>
              </w:rPr>
              <w:t>Medium</w:t>
            </w:r>
          </w:p>
        </w:tc>
        <w:tc>
          <w:tcPr>
            <w:tcW w:w="5618" w:type="dxa"/>
          </w:tcPr>
          <w:p w14:paraId="0000052F" w14:textId="77777777" w:rsidR="001E40A1" w:rsidRDefault="007A0446">
            <w:pPr>
              <w:widowControl w:val="0"/>
              <w:ind w:right="-73"/>
              <w:rPr>
                <w:rFonts w:ascii="Calibri" w:eastAsia="Calibri" w:hAnsi="Calibri" w:cs="Calibri"/>
              </w:rPr>
            </w:pPr>
            <w:bookmarkStart w:id="83" w:name="_heading=h.1opuj5n" w:colFirst="0" w:colLast="0"/>
            <w:bookmarkEnd w:id="83"/>
            <w:r>
              <w:rPr>
                <w:rFonts w:ascii="Calibri" w:eastAsia="Calibri" w:hAnsi="Calibri" w:cs="Calibri"/>
              </w:rPr>
              <w:t>An additional cost between 10% and 50% of the total cost.</w:t>
            </w:r>
          </w:p>
        </w:tc>
      </w:tr>
      <w:tr w:rsidR="001E40A1" w14:paraId="09E7E270" w14:textId="77777777">
        <w:tc>
          <w:tcPr>
            <w:tcW w:w="2268" w:type="dxa"/>
            <w:vMerge/>
          </w:tcPr>
          <w:p w14:paraId="00000530" w14:textId="77777777" w:rsidR="001E40A1" w:rsidRDefault="001E40A1">
            <w:pPr>
              <w:widowControl w:val="0"/>
              <w:spacing w:line="276" w:lineRule="auto"/>
              <w:rPr>
                <w:rFonts w:ascii="Calibri" w:eastAsia="Calibri" w:hAnsi="Calibri" w:cs="Calibri"/>
              </w:rPr>
            </w:pPr>
          </w:p>
        </w:tc>
        <w:tc>
          <w:tcPr>
            <w:tcW w:w="1134" w:type="dxa"/>
            <w:tcBorders>
              <w:bottom w:val="single" w:sz="12" w:space="0" w:color="000000"/>
            </w:tcBorders>
          </w:tcPr>
          <w:p w14:paraId="00000531" w14:textId="77777777" w:rsidR="001E40A1" w:rsidRDefault="007A0446">
            <w:pPr>
              <w:widowControl w:val="0"/>
              <w:ind w:left="720" w:right="-73" w:hanging="720"/>
              <w:rPr>
                <w:rFonts w:ascii="Calibri" w:eastAsia="Calibri" w:hAnsi="Calibri" w:cs="Calibri"/>
                <w:i/>
              </w:rPr>
            </w:pPr>
            <w:bookmarkStart w:id="84" w:name="_heading=h.48pi1tg" w:colFirst="0" w:colLast="0"/>
            <w:bookmarkEnd w:id="84"/>
            <w:r>
              <w:rPr>
                <w:rFonts w:ascii="Calibri" w:eastAsia="Calibri" w:hAnsi="Calibri" w:cs="Calibri"/>
                <w:i/>
              </w:rPr>
              <w:t>High</w:t>
            </w:r>
          </w:p>
        </w:tc>
        <w:tc>
          <w:tcPr>
            <w:tcW w:w="5618" w:type="dxa"/>
            <w:tcBorders>
              <w:bottom w:val="single" w:sz="12" w:space="0" w:color="000000"/>
            </w:tcBorders>
          </w:tcPr>
          <w:p w14:paraId="00000532" w14:textId="77777777" w:rsidR="001E40A1" w:rsidRDefault="007A0446">
            <w:pPr>
              <w:widowControl w:val="0"/>
              <w:ind w:right="-73"/>
              <w:rPr>
                <w:rFonts w:ascii="Calibri" w:eastAsia="Calibri" w:hAnsi="Calibri" w:cs="Calibri"/>
              </w:rPr>
            </w:pPr>
            <w:bookmarkStart w:id="85" w:name="_heading=h.2nusc19" w:colFirst="0" w:colLast="0"/>
            <w:bookmarkEnd w:id="85"/>
            <w:r>
              <w:rPr>
                <w:rFonts w:ascii="Calibri" w:eastAsia="Calibri" w:hAnsi="Calibri" w:cs="Calibri"/>
              </w:rPr>
              <w:t>An additional cost of more than 50% of the total cost.</w:t>
            </w:r>
          </w:p>
        </w:tc>
      </w:tr>
    </w:tbl>
    <w:p w14:paraId="00000533" w14:textId="77777777" w:rsidR="001E40A1" w:rsidRDefault="001E40A1">
      <w:pPr>
        <w:rPr>
          <w:rFonts w:ascii="Calibri" w:eastAsia="Calibri" w:hAnsi="Calibri" w:cs="Calibri"/>
        </w:rPr>
      </w:pPr>
    </w:p>
    <w:p w14:paraId="00000534" w14:textId="77777777" w:rsidR="001E40A1" w:rsidRDefault="007A0446">
      <w:pPr>
        <w:rPr>
          <w:rFonts w:ascii="Calibri" w:eastAsia="Calibri" w:hAnsi="Calibri" w:cs="Calibri"/>
          <w:color w:val="000000"/>
        </w:rPr>
      </w:pPr>
      <w:r>
        <w:rPr>
          <w:rFonts w:ascii="Calibri" w:eastAsia="Calibri" w:hAnsi="Calibri" w:cs="Calibri"/>
          <w:color w:val="000000"/>
        </w:rPr>
        <w:t xml:space="preserve">The following linguistic guidance could by issuers to explain the likelihood of the disruption/effect of the risk factor occurring and/or the likelihood that the risk factor will be detected. </w:t>
      </w:r>
    </w:p>
    <w:p w14:paraId="00000535" w14:textId="77777777" w:rsidR="001E40A1" w:rsidRDefault="007A0446">
      <w:pPr>
        <w:pStyle w:val="Heading1"/>
        <w:rPr>
          <w:rFonts w:ascii="Calibri" w:eastAsia="Calibri" w:hAnsi="Calibri" w:cs="Calibri"/>
          <w:sz w:val="20"/>
          <w:szCs w:val="20"/>
        </w:rPr>
      </w:pPr>
      <w:bookmarkStart w:id="86" w:name="_heading=h.1302m92" w:colFirst="0" w:colLast="0"/>
      <w:bookmarkEnd w:id="86"/>
      <w:r>
        <w:rPr>
          <w:rFonts w:ascii="Calibri" w:eastAsia="Calibri" w:hAnsi="Calibri" w:cs="Calibri"/>
          <w:sz w:val="20"/>
          <w:szCs w:val="20"/>
        </w:rPr>
        <w:t>Linguistic grades for likelihood</w:t>
      </w:r>
    </w:p>
    <w:tbl>
      <w:tblPr>
        <w:tblStyle w:val="ae"/>
        <w:tblW w:w="90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268"/>
        <w:gridCol w:w="2127"/>
        <w:gridCol w:w="4625"/>
      </w:tblGrid>
      <w:tr w:rsidR="001E40A1" w14:paraId="1FE6A992" w14:textId="77777777">
        <w:tc>
          <w:tcPr>
            <w:tcW w:w="2268" w:type="dxa"/>
            <w:vMerge w:val="restart"/>
          </w:tcPr>
          <w:p w14:paraId="00000536" w14:textId="77777777" w:rsidR="001E40A1" w:rsidRDefault="007A0446">
            <w:pPr>
              <w:widowControl w:val="0"/>
              <w:ind w:right="-73"/>
              <w:rPr>
                <w:rFonts w:ascii="Calibri" w:eastAsia="Calibri" w:hAnsi="Calibri" w:cs="Calibri"/>
                <w:i/>
                <w:color w:val="000000"/>
              </w:rPr>
            </w:pPr>
            <w:bookmarkStart w:id="87" w:name="_heading=h.3mzq4wv" w:colFirst="0" w:colLast="0"/>
            <w:bookmarkEnd w:id="87"/>
            <w:r>
              <w:rPr>
                <w:rFonts w:ascii="Calibri" w:eastAsia="Calibri" w:hAnsi="Calibri" w:cs="Calibri"/>
                <w:i/>
                <w:color w:val="000000"/>
              </w:rPr>
              <w:t>Likelihood of risk factor occurrence</w:t>
            </w:r>
          </w:p>
        </w:tc>
        <w:tc>
          <w:tcPr>
            <w:tcW w:w="2127" w:type="dxa"/>
          </w:tcPr>
          <w:p w14:paraId="00000537" w14:textId="77777777" w:rsidR="001E40A1" w:rsidRDefault="007A0446">
            <w:pPr>
              <w:widowControl w:val="0"/>
              <w:ind w:right="-73"/>
              <w:rPr>
                <w:rFonts w:ascii="Calibri" w:eastAsia="Calibri" w:hAnsi="Calibri" w:cs="Calibri"/>
                <w:b/>
                <w:i/>
                <w:color w:val="000000"/>
              </w:rPr>
            </w:pPr>
            <w:bookmarkStart w:id="88" w:name="_heading=h.2250f4o" w:colFirst="0" w:colLast="0"/>
            <w:bookmarkEnd w:id="88"/>
            <w:r>
              <w:rPr>
                <w:rFonts w:ascii="Calibri" w:eastAsia="Calibri" w:hAnsi="Calibri" w:cs="Calibri"/>
                <w:i/>
                <w:color w:val="000000"/>
              </w:rPr>
              <w:t>Low (Unlikely)</w:t>
            </w:r>
          </w:p>
        </w:tc>
        <w:tc>
          <w:tcPr>
            <w:tcW w:w="4625" w:type="dxa"/>
          </w:tcPr>
          <w:p w14:paraId="00000538" w14:textId="77777777" w:rsidR="001E40A1" w:rsidRDefault="007A0446">
            <w:pPr>
              <w:widowControl w:val="0"/>
              <w:ind w:right="-73"/>
              <w:rPr>
                <w:rFonts w:ascii="Calibri" w:eastAsia="Calibri" w:hAnsi="Calibri" w:cs="Calibri"/>
                <w:color w:val="000000"/>
              </w:rPr>
            </w:pPr>
            <w:bookmarkStart w:id="89" w:name="_heading=h.haapch" w:colFirst="0" w:colLast="0"/>
            <w:bookmarkEnd w:id="89"/>
            <w:r>
              <w:rPr>
                <w:rFonts w:ascii="Calibri" w:eastAsia="Calibri" w:hAnsi="Calibri" w:cs="Calibri"/>
                <w:color w:val="000000"/>
              </w:rPr>
              <w:t>Occurs less than one per year.</w:t>
            </w:r>
          </w:p>
        </w:tc>
      </w:tr>
      <w:tr w:rsidR="001E40A1" w14:paraId="6F04196F" w14:textId="77777777">
        <w:tc>
          <w:tcPr>
            <w:tcW w:w="2268" w:type="dxa"/>
            <w:vMerge/>
          </w:tcPr>
          <w:p w14:paraId="00000539" w14:textId="77777777" w:rsidR="001E40A1" w:rsidRDefault="001E40A1">
            <w:pPr>
              <w:widowControl w:val="0"/>
              <w:spacing w:line="276" w:lineRule="auto"/>
              <w:rPr>
                <w:rFonts w:ascii="Calibri" w:eastAsia="Calibri" w:hAnsi="Calibri" w:cs="Calibri"/>
                <w:color w:val="000000"/>
              </w:rPr>
            </w:pPr>
          </w:p>
        </w:tc>
        <w:tc>
          <w:tcPr>
            <w:tcW w:w="2127" w:type="dxa"/>
          </w:tcPr>
          <w:p w14:paraId="0000053A" w14:textId="77777777" w:rsidR="001E40A1" w:rsidRDefault="007A0446">
            <w:pPr>
              <w:widowControl w:val="0"/>
              <w:ind w:right="-73"/>
              <w:rPr>
                <w:rFonts w:ascii="Calibri" w:eastAsia="Calibri" w:hAnsi="Calibri" w:cs="Calibri"/>
                <w:b/>
                <w:i/>
                <w:color w:val="000000"/>
              </w:rPr>
            </w:pPr>
            <w:bookmarkStart w:id="90" w:name="_heading=h.319y80a" w:colFirst="0" w:colLast="0"/>
            <w:bookmarkEnd w:id="90"/>
            <w:r>
              <w:rPr>
                <w:rFonts w:ascii="Calibri" w:eastAsia="Calibri" w:hAnsi="Calibri" w:cs="Calibri"/>
                <w:i/>
                <w:color w:val="000000"/>
              </w:rPr>
              <w:t>Medium (Occasional)</w:t>
            </w:r>
          </w:p>
        </w:tc>
        <w:tc>
          <w:tcPr>
            <w:tcW w:w="4625" w:type="dxa"/>
          </w:tcPr>
          <w:p w14:paraId="0000053B" w14:textId="77777777" w:rsidR="001E40A1" w:rsidRDefault="007A0446">
            <w:pPr>
              <w:widowControl w:val="0"/>
              <w:ind w:right="-73"/>
              <w:rPr>
                <w:rFonts w:ascii="Calibri" w:eastAsia="Calibri" w:hAnsi="Calibri" w:cs="Calibri"/>
                <w:color w:val="000000"/>
              </w:rPr>
            </w:pPr>
            <w:bookmarkStart w:id="91" w:name="_heading=h.1gf8i83" w:colFirst="0" w:colLast="0"/>
            <w:bookmarkEnd w:id="91"/>
            <w:r>
              <w:rPr>
                <w:rFonts w:ascii="Calibri" w:eastAsia="Calibri" w:hAnsi="Calibri" w:cs="Calibri"/>
                <w:color w:val="000000"/>
              </w:rPr>
              <w:t>Occurs more than once, but fewer than 10 times in a decade.</w:t>
            </w:r>
          </w:p>
        </w:tc>
      </w:tr>
      <w:tr w:rsidR="001E40A1" w14:paraId="0B509789" w14:textId="77777777">
        <w:tc>
          <w:tcPr>
            <w:tcW w:w="2268" w:type="dxa"/>
            <w:vMerge/>
          </w:tcPr>
          <w:p w14:paraId="0000053C" w14:textId="77777777" w:rsidR="001E40A1" w:rsidRDefault="001E40A1">
            <w:pPr>
              <w:widowControl w:val="0"/>
              <w:spacing w:line="276" w:lineRule="auto"/>
              <w:rPr>
                <w:rFonts w:ascii="Calibri" w:eastAsia="Calibri" w:hAnsi="Calibri" w:cs="Calibri"/>
                <w:color w:val="000000"/>
              </w:rPr>
            </w:pPr>
          </w:p>
        </w:tc>
        <w:tc>
          <w:tcPr>
            <w:tcW w:w="2127" w:type="dxa"/>
          </w:tcPr>
          <w:p w14:paraId="0000053D" w14:textId="77777777" w:rsidR="001E40A1" w:rsidRDefault="007A0446">
            <w:pPr>
              <w:widowControl w:val="0"/>
              <w:ind w:right="-73"/>
              <w:rPr>
                <w:rFonts w:ascii="Calibri" w:eastAsia="Calibri" w:hAnsi="Calibri" w:cs="Calibri"/>
                <w:b/>
                <w:i/>
                <w:color w:val="000000"/>
              </w:rPr>
            </w:pPr>
            <w:bookmarkStart w:id="92" w:name="_heading=h.40ew0vw" w:colFirst="0" w:colLast="0"/>
            <w:bookmarkEnd w:id="92"/>
            <w:r>
              <w:rPr>
                <w:rFonts w:ascii="Calibri" w:eastAsia="Calibri" w:hAnsi="Calibri" w:cs="Calibri"/>
                <w:i/>
                <w:color w:val="000000"/>
              </w:rPr>
              <w:t>High (Frequent)</w:t>
            </w:r>
          </w:p>
        </w:tc>
        <w:tc>
          <w:tcPr>
            <w:tcW w:w="4625" w:type="dxa"/>
          </w:tcPr>
          <w:p w14:paraId="0000053E" w14:textId="77777777" w:rsidR="001E40A1" w:rsidRDefault="007A0446">
            <w:pPr>
              <w:widowControl w:val="0"/>
              <w:ind w:right="-73"/>
              <w:rPr>
                <w:rFonts w:ascii="Calibri" w:eastAsia="Calibri" w:hAnsi="Calibri" w:cs="Calibri"/>
                <w:color w:val="000000"/>
              </w:rPr>
            </w:pPr>
            <w:bookmarkStart w:id="93" w:name="_heading=h.2fk6b3p" w:colFirst="0" w:colLast="0"/>
            <w:bookmarkEnd w:id="93"/>
            <w:r>
              <w:rPr>
                <w:rFonts w:ascii="Calibri" w:eastAsia="Calibri" w:hAnsi="Calibri" w:cs="Calibri"/>
                <w:color w:val="000000"/>
              </w:rPr>
              <w:t>Occurs annually.</w:t>
            </w:r>
          </w:p>
        </w:tc>
      </w:tr>
      <w:tr w:rsidR="001E40A1" w14:paraId="2DD21EF0" w14:textId="77777777">
        <w:trPr>
          <w:trHeight w:val="144"/>
        </w:trPr>
        <w:tc>
          <w:tcPr>
            <w:tcW w:w="2268" w:type="dxa"/>
          </w:tcPr>
          <w:p w14:paraId="0000053F" w14:textId="77777777" w:rsidR="001E40A1" w:rsidRDefault="001E40A1">
            <w:pPr>
              <w:widowControl w:val="0"/>
              <w:ind w:right="-73"/>
              <w:rPr>
                <w:rFonts w:ascii="Calibri" w:eastAsia="Calibri" w:hAnsi="Calibri" w:cs="Calibri"/>
                <w:i/>
                <w:color w:val="000000"/>
              </w:rPr>
            </w:pPr>
          </w:p>
        </w:tc>
        <w:tc>
          <w:tcPr>
            <w:tcW w:w="2127" w:type="dxa"/>
          </w:tcPr>
          <w:p w14:paraId="00000540" w14:textId="77777777" w:rsidR="001E40A1" w:rsidRDefault="001E40A1">
            <w:pPr>
              <w:widowControl w:val="0"/>
              <w:ind w:right="-73"/>
              <w:rPr>
                <w:rFonts w:ascii="Calibri" w:eastAsia="Calibri" w:hAnsi="Calibri" w:cs="Calibri"/>
                <w:i/>
                <w:color w:val="000000"/>
              </w:rPr>
            </w:pPr>
          </w:p>
        </w:tc>
        <w:tc>
          <w:tcPr>
            <w:tcW w:w="4625" w:type="dxa"/>
          </w:tcPr>
          <w:p w14:paraId="00000541" w14:textId="77777777" w:rsidR="001E40A1" w:rsidRDefault="001E40A1">
            <w:pPr>
              <w:widowControl w:val="0"/>
              <w:ind w:right="-73"/>
              <w:rPr>
                <w:rFonts w:ascii="Calibri" w:eastAsia="Calibri" w:hAnsi="Calibri" w:cs="Calibri"/>
                <w:color w:val="000000"/>
              </w:rPr>
            </w:pPr>
          </w:p>
        </w:tc>
      </w:tr>
      <w:tr w:rsidR="001E40A1" w14:paraId="70F9B18E" w14:textId="77777777">
        <w:tc>
          <w:tcPr>
            <w:tcW w:w="2268" w:type="dxa"/>
            <w:vMerge w:val="restart"/>
          </w:tcPr>
          <w:p w14:paraId="00000542" w14:textId="77777777" w:rsidR="001E40A1" w:rsidRDefault="007A0446">
            <w:pPr>
              <w:widowControl w:val="0"/>
              <w:ind w:right="-73"/>
              <w:rPr>
                <w:rFonts w:ascii="Calibri" w:eastAsia="Calibri" w:hAnsi="Calibri" w:cs="Calibri"/>
                <w:i/>
                <w:color w:val="000000"/>
              </w:rPr>
            </w:pPr>
            <w:bookmarkStart w:id="94" w:name="_heading=h.upglbi" w:colFirst="0" w:colLast="0"/>
            <w:bookmarkEnd w:id="94"/>
            <w:r>
              <w:rPr>
                <w:rFonts w:ascii="Calibri" w:eastAsia="Calibri" w:hAnsi="Calibri" w:cs="Calibri"/>
                <w:i/>
                <w:color w:val="000000"/>
              </w:rPr>
              <w:t>Likelihood of risk factor detection</w:t>
            </w:r>
          </w:p>
        </w:tc>
        <w:tc>
          <w:tcPr>
            <w:tcW w:w="2127" w:type="dxa"/>
          </w:tcPr>
          <w:p w14:paraId="00000543" w14:textId="77777777" w:rsidR="001E40A1" w:rsidRDefault="007A0446">
            <w:pPr>
              <w:widowControl w:val="0"/>
              <w:ind w:right="-73"/>
              <w:rPr>
                <w:rFonts w:ascii="Calibri" w:eastAsia="Calibri" w:hAnsi="Calibri" w:cs="Calibri"/>
                <w:b/>
                <w:i/>
                <w:color w:val="000000"/>
              </w:rPr>
            </w:pPr>
            <w:bookmarkStart w:id="95" w:name="_heading=h.3ep43zb" w:colFirst="0" w:colLast="0"/>
            <w:bookmarkEnd w:id="95"/>
            <w:r>
              <w:rPr>
                <w:rFonts w:ascii="Calibri" w:eastAsia="Calibri" w:hAnsi="Calibri" w:cs="Calibri"/>
                <w:i/>
                <w:color w:val="000000"/>
              </w:rPr>
              <w:t>Low (Unlikely)</w:t>
            </w:r>
          </w:p>
        </w:tc>
        <w:tc>
          <w:tcPr>
            <w:tcW w:w="4625" w:type="dxa"/>
          </w:tcPr>
          <w:p w14:paraId="00000544" w14:textId="77777777" w:rsidR="001E40A1" w:rsidRDefault="007A0446">
            <w:pPr>
              <w:widowControl w:val="0"/>
              <w:ind w:right="-73"/>
              <w:rPr>
                <w:rFonts w:ascii="Calibri" w:eastAsia="Calibri" w:hAnsi="Calibri" w:cs="Calibri"/>
                <w:color w:val="000000"/>
              </w:rPr>
            </w:pPr>
            <w:bookmarkStart w:id="96" w:name="_heading=h.1tuee74" w:colFirst="0" w:colLast="0"/>
            <w:bookmarkEnd w:id="96"/>
            <w:r>
              <w:rPr>
                <w:rFonts w:ascii="Calibri" w:eastAsia="Calibri" w:hAnsi="Calibri" w:cs="Calibri"/>
                <w:color w:val="000000"/>
              </w:rPr>
              <w:t>Not possible to receive an accurate forecast.</w:t>
            </w:r>
          </w:p>
        </w:tc>
      </w:tr>
      <w:tr w:rsidR="001E40A1" w14:paraId="361D82A8" w14:textId="77777777">
        <w:trPr>
          <w:trHeight w:val="50"/>
        </w:trPr>
        <w:tc>
          <w:tcPr>
            <w:tcW w:w="2268" w:type="dxa"/>
            <w:vMerge/>
          </w:tcPr>
          <w:p w14:paraId="00000545" w14:textId="77777777" w:rsidR="001E40A1" w:rsidRDefault="001E40A1">
            <w:pPr>
              <w:widowControl w:val="0"/>
              <w:spacing w:line="276" w:lineRule="auto"/>
              <w:rPr>
                <w:rFonts w:ascii="Calibri" w:eastAsia="Calibri" w:hAnsi="Calibri" w:cs="Calibri"/>
                <w:color w:val="000000"/>
              </w:rPr>
            </w:pPr>
          </w:p>
        </w:tc>
        <w:tc>
          <w:tcPr>
            <w:tcW w:w="2127" w:type="dxa"/>
          </w:tcPr>
          <w:p w14:paraId="00000546" w14:textId="77777777" w:rsidR="001E40A1" w:rsidRDefault="007A0446">
            <w:pPr>
              <w:widowControl w:val="0"/>
              <w:ind w:right="-73"/>
              <w:rPr>
                <w:rFonts w:ascii="Calibri" w:eastAsia="Calibri" w:hAnsi="Calibri" w:cs="Calibri"/>
                <w:b/>
                <w:i/>
                <w:color w:val="000000"/>
              </w:rPr>
            </w:pPr>
            <w:bookmarkStart w:id="97" w:name="_heading=h.4du1wux" w:colFirst="0" w:colLast="0"/>
            <w:bookmarkEnd w:id="97"/>
            <w:r>
              <w:rPr>
                <w:rFonts w:ascii="Calibri" w:eastAsia="Calibri" w:hAnsi="Calibri" w:cs="Calibri"/>
                <w:i/>
                <w:color w:val="000000"/>
              </w:rPr>
              <w:t>Medium (Occasional)</w:t>
            </w:r>
          </w:p>
        </w:tc>
        <w:tc>
          <w:tcPr>
            <w:tcW w:w="4625" w:type="dxa"/>
          </w:tcPr>
          <w:p w14:paraId="00000547" w14:textId="77777777" w:rsidR="001E40A1" w:rsidRDefault="007A0446">
            <w:pPr>
              <w:widowControl w:val="0"/>
              <w:ind w:right="-73"/>
              <w:rPr>
                <w:rFonts w:ascii="Calibri" w:eastAsia="Calibri" w:hAnsi="Calibri" w:cs="Calibri"/>
                <w:color w:val="000000"/>
              </w:rPr>
            </w:pPr>
            <w:bookmarkStart w:id="98" w:name="_heading=h.2szc72q" w:colFirst="0" w:colLast="0"/>
            <w:bookmarkEnd w:id="98"/>
            <w:r>
              <w:rPr>
                <w:rFonts w:ascii="Calibri" w:eastAsia="Calibri" w:hAnsi="Calibri" w:cs="Calibri"/>
                <w:color w:val="000000"/>
              </w:rPr>
              <w:t>Possible to receive an accurate forecast 6 hrs in advance.</w:t>
            </w:r>
          </w:p>
        </w:tc>
      </w:tr>
      <w:tr w:rsidR="001E40A1" w14:paraId="252A3A6E" w14:textId="77777777">
        <w:tc>
          <w:tcPr>
            <w:tcW w:w="2268" w:type="dxa"/>
            <w:vMerge/>
          </w:tcPr>
          <w:p w14:paraId="00000548" w14:textId="77777777" w:rsidR="001E40A1" w:rsidRDefault="001E40A1">
            <w:pPr>
              <w:widowControl w:val="0"/>
              <w:spacing w:line="276" w:lineRule="auto"/>
              <w:rPr>
                <w:rFonts w:ascii="Calibri" w:eastAsia="Calibri" w:hAnsi="Calibri" w:cs="Calibri"/>
                <w:color w:val="000000"/>
              </w:rPr>
            </w:pPr>
          </w:p>
        </w:tc>
        <w:tc>
          <w:tcPr>
            <w:tcW w:w="2127" w:type="dxa"/>
          </w:tcPr>
          <w:p w14:paraId="00000549" w14:textId="77777777" w:rsidR="001E40A1" w:rsidRDefault="007A0446">
            <w:pPr>
              <w:widowControl w:val="0"/>
              <w:ind w:right="-73"/>
              <w:rPr>
                <w:rFonts w:ascii="Calibri" w:eastAsia="Calibri" w:hAnsi="Calibri" w:cs="Calibri"/>
                <w:b/>
                <w:i/>
                <w:color w:val="000000"/>
              </w:rPr>
            </w:pPr>
            <w:bookmarkStart w:id="99" w:name="_heading=h.184mhaj" w:colFirst="0" w:colLast="0"/>
            <w:bookmarkEnd w:id="99"/>
            <w:r>
              <w:rPr>
                <w:rFonts w:ascii="Calibri" w:eastAsia="Calibri" w:hAnsi="Calibri" w:cs="Calibri"/>
                <w:i/>
                <w:color w:val="000000"/>
              </w:rPr>
              <w:t>High (Frequent)</w:t>
            </w:r>
          </w:p>
        </w:tc>
        <w:tc>
          <w:tcPr>
            <w:tcW w:w="4625" w:type="dxa"/>
          </w:tcPr>
          <w:p w14:paraId="0000054A" w14:textId="77777777" w:rsidR="001E40A1" w:rsidRDefault="007A0446">
            <w:pPr>
              <w:widowControl w:val="0"/>
              <w:ind w:right="-73"/>
              <w:rPr>
                <w:rFonts w:ascii="Calibri" w:eastAsia="Calibri" w:hAnsi="Calibri" w:cs="Calibri"/>
                <w:color w:val="000000"/>
              </w:rPr>
            </w:pPr>
            <w:bookmarkStart w:id="100" w:name="_heading=h.3s49zyc" w:colFirst="0" w:colLast="0"/>
            <w:bookmarkEnd w:id="100"/>
            <w:r>
              <w:rPr>
                <w:rFonts w:ascii="Calibri" w:eastAsia="Calibri" w:hAnsi="Calibri" w:cs="Calibri"/>
                <w:color w:val="000000"/>
              </w:rPr>
              <w:t xml:space="preserve">Possible to receive an accurate forecast 24 hrs in </w:t>
            </w:r>
            <w:r>
              <w:rPr>
                <w:rFonts w:ascii="Calibri" w:eastAsia="Calibri" w:hAnsi="Calibri" w:cs="Calibri"/>
                <w:color w:val="000000"/>
              </w:rPr>
              <w:lastRenderedPageBreak/>
              <w:t>advance.</w:t>
            </w:r>
          </w:p>
        </w:tc>
      </w:tr>
    </w:tbl>
    <w:p w14:paraId="0000054B" w14:textId="77777777" w:rsidR="001E40A1" w:rsidRDefault="001E40A1">
      <w:pPr>
        <w:rPr>
          <w:rFonts w:ascii="Calibri" w:eastAsia="Calibri" w:hAnsi="Calibri" w:cs="Calibri"/>
          <w:color w:val="000000"/>
        </w:rPr>
      </w:pPr>
    </w:p>
    <w:p w14:paraId="0000054C" w14:textId="77777777" w:rsidR="001E40A1" w:rsidRDefault="007A0446">
      <w:pPr>
        <w:pStyle w:val="Heading3"/>
        <w:rPr>
          <w:rFonts w:ascii="Calibri" w:eastAsia="Calibri" w:hAnsi="Calibri" w:cs="Calibri"/>
        </w:rPr>
      </w:pPr>
      <w:bookmarkStart w:id="101" w:name="_heading=h.279ka65" w:colFirst="0" w:colLast="0"/>
      <w:bookmarkEnd w:id="101"/>
      <w:r>
        <w:rPr>
          <w:rFonts w:ascii="Calibri" w:eastAsia="Calibri" w:hAnsi="Calibri" w:cs="Calibri"/>
        </w:rPr>
        <w:t>CBI AREG Principle 3: Identifying the adaptation measures for different climate risks</w:t>
      </w:r>
    </w:p>
    <w:p w14:paraId="0000054D" w14:textId="77777777" w:rsidR="001E40A1" w:rsidRDefault="007A0446">
      <w:pPr>
        <w:jc w:val="both"/>
        <w:rPr>
          <w:rFonts w:ascii="Calibri" w:eastAsia="Calibri" w:hAnsi="Calibri" w:cs="Calibri"/>
          <w:color w:val="000000"/>
        </w:rPr>
      </w:pPr>
      <w:r>
        <w:rPr>
          <w:rFonts w:ascii="Calibri" w:eastAsia="Calibri" w:hAnsi="Calibri" w:cs="Calibri"/>
          <w:color w:val="000000"/>
        </w:rPr>
        <w:t>Having identified what the potential climate risks will be for the vessel over its operating life, issuers m</w:t>
      </w:r>
      <w:r>
        <w:rPr>
          <w:rFonts w:ascii="Calibri" w:eastAsia="Calibri" w:hAnsi="Calibri" w:cs="Calibri"/>
          <w:color w:val="000000"/>
        </w:rPr>
        <w:t>ust then outline the measures that have been or will be adopted to manage these risks. The measures that have or will be taken to address those risks mitigate them to a level so that the ship(s) are ‘fit for purpose’ in the face of coming climate change ov</w:t>
      </w:r>
      <w:r>
        <w:rPr>
          <w:rFonts w:ascii="Calibri" w:eastAsia="Calibri" w:hAnsi="Calibri" w:cs="Calibri"/>
          <w:color w:val="000000"/>
        </w:rPr>
        <w:t xml:space="preserve">er its operational life and do no harm to the resilience of the defined system they operate within, as indicated by the boundaries of and critical interdependencies with that system as identified in Criteria 1. </w:t>
      </w:r>
    </w:p>
    <w:p w14:paraId="0000054E" w14:textId="77777777" w:rsidR="001E40A1" w:rsidRDefault="001E40A1">
      <w:pPr>
        <w:rPr>
          <w:rFonts w:ascii="Calibri" w:eastAsia="Calibri" w:hAnsi="Calibri" w:cs="Calibri"/>
          <w:color w:val="000000"/>
        </w:rPr>
      </w:pPr>
    </w:p>
    <w:p w14:paraId="0000054F" w14:textId="77777777" w:rsidR="001E40A1" w:rsidRDefault="007A0446">
      <w:pPr>
        <w:jc w:val="both"/>
        <w:rPr>
          <w:rFonts w:ascii="Calibri" w:eastAsia="Calibri" w:hAnsi="Calibri" w:cs="Calibri"/>
          <w:color w:val="000000"/>
        </w:rPr>
      </w:pPr>
      <w:r>
        <w:rPr>
          <w:rFonts w:ascii="Calibri" w:eastAsia="Calibri" w:hAnsi="Calibri" w:cs="Calibri"/>
          <w:color w:val="000000"/>
        </w:rPr>
        <w:t>A ‘fit-for-purpose’ ship (from the climate-resilience perspective), might be considered one that operates without additional ‘downtime’ as a direct effect of climate events (extreme weather). This might be interpreted to imply that ships’ maintenance sched</w:t>
      </w:r>
      <w:r>
        <w:rPr>
          <w:rFonts w:ascii="Calibri" w:eastAsia="Calibri" w:hAnsi="Calibri" w:cs="Calibri"/>
          <w:color w:val="000000"/>
        </w:rPr>
        <w:t xml:space="preserve">ules are not extended or increased as a result of climate impacts. Operators are encouraged to provide additional data on how they will ensure that their ships will be able to continue operating in the conditions that will result from climate change. </w:t>
      </w:r>
    </w:p>
    <w:p w14:paraId="00000550" w14:textId="77777777" w:rsidR="001E40A1" w:rsidRDefault="001E40A1">
      <w:pPr>
        <w:rPr>
          <w:rFonts w:ascii="Calibri" w:eastAsia="Calibri" w:hAnsi="Calibri" w:cs="Calibri"/>
          <w:color w:val="000000"/>
        </w:rPr>
      </w:pPr>
    </w:p>
    <w:p w14:paraId="00000551" w14:textId="77777777" w:rsidR="001E40A1" w:rsidRDefault="007A0446">
      <w:pPr>
        <w:jc w:val="both"/>
        <w:rPr>
          <w:rFonts w:ascii="Calibri" w:eastAsia="Calibri" w:hAnsi="Calibri" w:cs="Calibri"/>
          <w:color w:val="000000"/>
        </w:rPr>
      </w:pPr>
      <w:r>
        <w:rPr>
          <w:rFonts w:ascii="Calibri" w:eastAsia="Calibri" w:hAnsi="Calibri" w:cs="Calibri"/>
          <w:color w:val="000000"/>
        </w:rPr>
        <w:t>Hav</w:t>
      </w:r>
      <w:r>
        <w:rPr>
          <w:rFonts w:ascii="Calibri" w:eastAsia="Calibri" w:hAnsi="Calibri" w:cs="Calibri"/>
          <w:color w:val="000000"/>
        </w:rPr>
        <w:t xml:space="preserve">ing identified the risks that might cause an asset to be not fit-for-purpose, issuers are then welcome to provide information on the measures that can adopted to improve the ship’s resilience to climate change. </w:t>
      </w:r>
    </w:p>
    <w:p w14:paraId="00000552" w14:textId="77777777" w:rsidR="001E40A1" w:rsidRDefault="001E40A1">
      <w:pPr>
        <w:rPr>
          <w:rFonts w:ascii="Calibri" w:eastAsia="Calibri" w:hAnsi="Calibri" w:cs="Calibri"/>
        </w:rPr>
      </w:pPr>
    </w:p>
    <w:p w14:paraId="00000553" w14:textId="77777777" w:rsidR="001E40A1" w:rsidRDefault="007A0446">
      <w:pPr>
        <w:rPr>
          <w:rFonts w:ascii="Calibri" w:eastAsia="Calibri" w:hAnsi="Calibri" w:cs="Calibri"/>
        </w:rPr>
      </w:pPr>
      <w:r>
        <w:rPr>
          <w:rFonts w:ascii="Calibri" w:eastAsia="Calibri" w:hAnsi="Calibri" w:cs="Calibri"/>
        </w:rPr>
        <w:t xml:space="preserve">Potential Adaptation Measures in response to Extreme Heat include: </w:t>
      </w:r>
    </w:p>
    <w:p w14:paraId="00000554"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Heat resistant construction and materials</w:t>
      </w:r>
    </w:p>
    <w:p w14:paraId="00000555"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Continuous inspection, repair and maintenance</w:t>
      </w:r>
    </w:p>
    <w:p w14:paraId="00000556"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Monitoring of infrastructure temperatures</w:t>
      </w:r>
    </w:p>
    <w:p w14:paraId="00000557"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Reduced cargo loads, speed and frequency of service</w:t>
      </w:r>
    </w:p>
    <w:p w14:paraId="00000558"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Refrig</w:t>
      </w:r>
      <w:r>
        <w:rPr>
          <w:rFonts w:ascii="Calibri" w:eastAsia="Calibri" w:hAnsi="Calibri" w:cs="Calibri"/>
          <w:color w:val="000000"/>
        </w:rPr>
        <w:t>eration, cooling and ventilation systems</w:t>
      </w:r>
    </w:p>
    <w:p w14:paraId="00000559"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Insulation and refrigeration</w:t>
      </w:r>
    </w:p>
    <w:p w14:paraId="0000055A"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Modal Shift</w:t>
      </w:r>
    </w:p>
    <w:p w14:paraId="0000055B"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Transit management scheme and navigation of northern regions</w:t>
      </w:r>
    </w:p>
    <w:p w14:paraId="0000055C"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Ships design, skilled labour and training requirements</w:t>
      </w:r>
    </w:p>
    <w:p w14:paraId="0000055D" w14:textId="77777777" w:rsidR="001E40A1" w:rsidRDefault="007A0446">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Upgrading of infrastructure parameters in UNECE agreements</w:t>
      </w:r>
      <w:r>
        <w:rPr>
          <w:rFonts w:ascii="Calibri" w:eastAsia="Calibri" w:hAnsi="Calibri" w:cs="Calibri"/>
          <w:color w:val="000000"/>
        </w:rPr>
        <w:t xml:space="preserve"> on pan-European rail, road and inland waterway and combined transport networks </w:t>
      </w:r>
    </w:p>
    <w:p w14:paraId="0000055E" w14:textId="77777777" w:rsidR="001E40A1" w:rsidRDefault="001E40A1">
      <w:pPr>
        <w:rPr>
          <w:rFonts w:ascii="Calibri" w:eastAsia="Calibri" w:hAnsi="Calibri" w:cs="Calibri"/>
        </w:rPr>
      </w:pPr>
    </w:p>
    <w:p w14:paraId="0000055F" w14:textId="77777777" w:rsidR="001E40A1" w:rsidRDefault="007A0446">
      <w:pPr>
        <w:rPr>
          <w:rFonts w:ascii="Calibri" w:eastAsia="Calibri" w:hAnsi="Calibri" w:cs="Calibri"/>
        </w:rPr>
      </w:pPr>
      <w:r>
        <w:rPr>
          <w:rFonts w:ascii="Calibri" w:eastAsia="Calibri" w:hAnsi="Calibri" w:cs="Calibri"/>
        </w:rPr>
        <w:t xml:space="preserve">Potential Adaptation Measures in response to Extreme Weather Conditions include: </w:t>
      </w:r>
    </w:p>
    <w:p w14:paraId="00000560"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Integrate emergency evacuation procedures into operations</w:t>
      </w:r>
    </w:p>
    <w:p w14:paraId="00000561"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Barriers and protection structures</w:t>
      </w:r>
    </w:p>
    <w:p w14:paraId="00000562"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Monitoring of infrastructure conditions</w:t>
      </w:r>
    </w:p>
    <w:p w14:paraId="00000563"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Prepare for service delays of cancellations</w:t>
      </w:r>
    </w:p>
    <w:p w14:paraId="00000564"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Strengthen foundations, raising dock and wharf levels</w:t>
      </w:r>
    </w:p>
    <w:p w14:paraId="00000565"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Smart technologies for ab</w:t>
      </w:r>
      <w:r>
        <w:rPr>
          <w:rFonts w:ascii="Calibri" w:eastAsia="Calibri" w:hAnsi="Calibri" w:cs="Calibri"/>
          <w:color w:val="000000"/>
        </w:rPr>
        <w:t>normal events detection</w:t>
      </w:r>
    </w:p>
    <w:p w14:paraId="00000566" w14:textId="77777777" w:rsidR="001E40A1" w:rsidRDefault="007A0446">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Improved ship design</w:t>
      </w:r>
    </w:p>
    <w:p w14:paraId="00000567" w14:textId="77777777" w:rsidR="001E40A1" w:rsidRDefault="001E40A1">
      <w:pPr>
        <w:rPr>
          <w:rFonts w:ascii="Calibri" w:eastAsia="Calibri" w:hAnsi="Calibri" w:cs="Calibri"/>
        </w:rPr>
      </w:pPr>
    </w:p>
    <w:p w14:paraId="00000568" w14:textId="77777777" w:rsidR="001E40A1" w:rsidRDefault="007A0446">
      <w:pPr>
        <w:pStyle w:val="Heading3"/>
        <w:rPr>
          <w:rFonts w:ascii="Calibri" w:eastAsia="Calibri" w:hAnsi="Calibri" w:cs="Calibri"/>
        </w:rPr>
      </w:pPr>
      <w:bookmarkStart w:id="102" w:name="_heading=h.meukdy" w:colFirst="0" w:colLast="0"/>
      <w:bookmarkEnd w:id="102"/>
      <w:r>
        <w:rPr>
          <w:rFonts w:ascii="Calibri" w:eastAsia="Calibri" w:hAnsi="Calibri" w:cs="Calibri"/>
        </w:rPr>
        <w:t xml:space="preserve">CBI AREG Principles 4 &amp; 5: Addressing resilience benefits </w:t>
      </w:r>
    </w:p>
    <w:p w14:paraId="00000569" w14:textId="77777777" w:rsidR="001E40A1" w:rsidRDefault="007A0446">
      <w:pPr>
        <w:jc w:val="both"/>
        <w:rPr>
          <w:rFonts w:ascii="Calibri" w:eastAsia="Calibri" w:hAnsi="Calibri" w:cs="Calibri"/>
          <w:color w:val="000000"/>
        </w:rPr>
      </w:pPr>
      <w:r>
        <w:rPr>
          <w:rFonts w:ascii="Calibri" w:eastAsia="Calibri" w:hAnsi="Calibri" w:cs="Calibri"/>
          <w:color w:val="000000"/>
        </w:rPr>
        <w:t>International shipping can impact the health of our ocean ecosystems and their ability to absorb and recuperate from climate and other environmental st</w:t>
      </w:r>
      <w:r>
        <w:rPr>
          <w:rFonts w:ascii="Calibri" w:eastAsia="Calibri" w:hAnsi="Calibri" w:cs="Calibri"/>
          <w:color w:val="000000"/>
        </w:rPr>
        <w:t>ress. In addition to climate change mitigation criteria, this section considers whether ships must meet a minimum threshold for reducing the risks posed to system resilience, and also explore instances where a ship provides a substantial contribution to sy</w:t>
      </w:r>
      <w:r>
        <w:rPr>
          <w:rFonts w:ascii="Calibri" w:eastAsia="Calibri" w:hAnsi="Calibri" w:cs="Calibri"/>
          <w:color w:val="000000"/>
        </w:rPr>
        <w:t xml:space="preserve">stem resilience that it may be derogated from the mitigation criteria. </w:t>
      </w:r>
    </w:p>
    <w:p w14:paraId="0000056A" w14:textId="77777777" w:rsidR="001E40A1" w:rsidRDefault="001E40A1">
      <w:pPr>
        <w:jc w:val="both"/>
        <w:rPr>
          <w:rFonts w:ascii="Calibri" w:eastAsia="Calibri" w:hAnsi="Calibri" w:cs="Calibri"/>
          <w:color w:val="000000"/>
        </w:rPr>
      </w:pPr>
    </w:p>
    <w:p w14:paraId="0000056B" w14:textId="77777777" w:rsidR="001E40A1" w:rsidRDefault="007A0446">
      <w:pPr>
        <w:jc w:val="both"/>
        <w:rPr>
          <w:rFonts w:ascii="Calibri" w:eastAsia="Calibri" w:hAnsi="Calibri" w:cs="Calibri"/>
          <w:color w:val="000000"/>
        </w:rPr>
      </w:pPr>
      <w:r>
        <w:rPr>
          <w:rFonts w:ascii="Calibri" w:eastAsia="Calibri" w:hAnsi="Calibri" w:cs="Calibri"/>
          <w:color w:val="000000"/>
        </w:rPr>
        <w:t>From an environmental systems-resilience perspective, ships can pose a climate resilience risk if, for example, shipping activity is conducted near vulnerable ecosystems which provide</w:t>
      </w:r>
      <w:r>
        <w:rPr>
          <w:rFonts w:ascii="Calibri" w:eastAsia="Calibri" w:hAnsi="Calibri" w:cs="Calibri"/>
          <w:color w:val="000000"/>
        </w:rPr>
        <w:t xml:space="preserve"> ecosystem services, such as mangrove forests offering flood defence services. While CBI recognises the immense significance of marine life and ecosystems and supports future efforts to incorporate these factors into investment guidelines, it was determine</w:t>
      </w:r>
      <w:r>
        <w:rPr>
          <w:rFonts w:ascii="Calibri" w:eastAsia="Calibri" w:hAnsi="Calibri" w:cs="Calibri"/>
          <w:color w:val="000000"/>
        </w:rPr>
        <w:t xml:space="preserve">d that existing IMO regulations provide a sufficient standard for the environmental responsibility and stewardship within shipping sector. And it was therefore deemed unnecessary at this stage to require such reporting from issuers. </w:t>
      </w:r>
    </w:p>
    <w:p w14:paraId="0000056C" w14:textId="77777777" w:rsidR="001E40A1" w:rsidRDefault="001E40A1">
      <w:pPr>
        <w:jc w:val="both"/>
        <w:rPr>
          <w:rFonts w:ascii="Calibri" w:eastAsia="Calibri" w:hAnsi="Calibri" w:cs="Calibri"/>
          <w:color w:val="000000"/>
        </w:rPr>
      </w:pPr>
    </w:p>
    <w:p w14:paraId="0000056D" w14:textId="77777777" w:rsidR="001E40A1" w:rsidRDefault="007A0446">
      <w:pPr>
        <w:jc w:val="both"/>
        <w:rPr>
          <w:rFonts w:ascii="Calibri" w:eastAsia="Calibri" w:hAnsi="Calibri" w:cs="Calibri"/>
          <w:color w:val="000000"/>
        </w:rPr>
      </w:pPr>
      <w:r>
        <w:rPr>
          <w:rFonts w:ascii="Calibri" w:eastAsia="Calibri" w:hAnsi="Calibri" w:cs="Calibri"/>
          <w:color w:val="000000"/>
        </w:rPr>
        <w:lastRenderedPageBreak/>
        <w:t>Examples of conventio</w:t>
      </w:r>
      <w:r>
        <w:rPr>
          <w:rFonts w:ascii="Calibri" w:eastAsia="Calibri" w:hAnsi="Calibri" w:cs="Calibri"/>
          <w:color w:val="000000"/>
        </w:rPr>
        <w:t>ns that help to reduce the shipping sector’s impact on the environment include: the International Convention for the Prevention of Pollution from Ships (MARPOL); the International Convention for the Safety of Life at Sea (</w:t>
      </w:r>
      <w:hyperlink r:id="rId25">
        <w:r>
          <w:rPr>
            <w:rFonts w:ascii="Calibri" w:eastAsia="Calibri" w:hAnsi="Calibri" w:cs="Calibri"/>
            <w:color w:val="000000"/>
          </w:rPr>
          <w:t>SOLAS</w:t>
        </w:r>
      </w:hyperlink>
      <w:r>
        <w:rPr>
          <w:rFonts w:ascii="Calibri" w:eastAsia="Calibri" w:hAnsi="Calibri" w:cs="Calibri"/>
          <w:color w:val="000000"/>
        </w:rPr>
        <w:t>); the Convention on the Prevention of Marine Pollution by </w:t>
      </w:r>
      <w:hyperlink r:id="rId26">
        <w:r>
          <w:rPr>
            <w:rFonts w:ascii="Calibri" w:eastAsia="Calibri" w:hAnsi="Calibri" w:cs="Calibri"/>
            <w:color w:val="000000"/>
          </w:rPr>
          <w:t>Dumping of Wastes and Other Matter</w:t>
        </w:r>
      </w:hyperlink>
      <w:r>
        <w:rPr>
          <w:rFonts w:ascii="Calibri" w:eastAsia="Calibri" w:hAnsi="Calibri" w:cs="Calibri"/>
          <w:color w:val="000000"/>
        </w:rPr>
        <w:t>; the Protocol on Preparedness, Response and Co-operation to pollution Incidents by Hazardous and Noxious Substances</w:t>
      </w:r>
      <w:r>
        <w:rPr>
          <w:rFonts w:ascii="Calibri" w:eastAsia="Calibri" w:hAnsi="Calibri" w:cs="Calibri"/>
          <w:color w:val="000000"/>
        </w:rPr>
        <w:t xml:space="preserve"> (</w:t>
      </w:r>
      <w:hyperlink r:id="rId27">
        <w:r>
          <w:rPr>
            <w:rFonts w:ascii="Calibri" w:eastAsia="Calibri" w:hAnsi="Calibri" w:cs="Calibri"/>
            <w:color w:val="000000"/>
          </w:rPr>
          <w:t>OPRC-HNS Protocol</w:t>
        </w:r>
      </w:hyperlink>
      <w:r>
        <w:rPr>
          <w:rFonts w:ascii="Calibri" w:eastAsia="Calibri" w:hAnsi="Calibri" w:cs="Calibri"/>
          <w:color w:val="000000"/>
        </w:rPr>
        <w:t>); the International Conv</w:t>
      </w:r>
      <w:r>
        <w:rPr>
          <w:rFonts w:ascii="Calibri" w:eastAsia="Calibri" w:hAnsi="Calibri" w:cs="Calibri"/>
          <w:color w:val="000000"/>
        </w:rPr>
        <w:t>ention on the Control of Harmful </w:t>
      </w:r>
      <w:hyperlink r:id="rId28">
        <w:r>
          <w:rPr>
            <w:rFonts w:ascii="Calibri" w:eastAsia="Calibri" w:hAnsi="Calibri" w:cs="Calibri"/>
            <w:color w:val="000000"/>
          </w:rPr>
          <w:t>Anti-fouling Systems</w:t>
        </w:r>
      </w:hyperlink>
      <w:r>
        <w:rPr>
          <w:rFonts w:ascii="Calibri" w:eastAsia="Calibri" w:hAnsi="Calibri" w:cs="Calibri"/>
          <w:color w:val="000000"/>
        </w:rPr>
        <w:t> on Ships (AFS), and the Int</w:t>
      </w:r>
      <w:r>
        <w:rPr>
          <w:rFonts w:ascii="Calibri" w:eastAsia="Calibri" w:hAnsi="Calibri" w:cs="Calibri"/>
          <w:color w:val="000000"/>
        </w:rPr>
        <w:t>ernational Convention for the Control and Management of</w:t>
      </w:r>
      <w:hyperlink r:id="rId29">
        <w:r>
          <w:rPr>
            <w:rFonts w:ascii="Calibri" w:eastAsia="Calibri" w:hAnsi="Calibri" w:cs="Calibri"/>
            <w:color w:val="000000"/>
          </w:rPr>
          <w:t> Ships' Ballast Water and Sediments</w:t>
        </w:r>
      </w:hyperlink>
      <w:r>
        <w:rPr>
          <w:rFonts w:ascii="Calibri" w:eastAsia="Calibri" w:hAnsi="Calibri" w:cs="Calibri"/>
          <w:color w:val="000000"/>
        </w:rPr>
        <w:t xml:space="preserve">. </w:t>
      </w:r>
    </w:p>
    <w:p w14:paraId="0000056E" w14:textId="77777777" w:rsidR="001E40A1" w:rsidRDefault="007A0446">
      <w:pPr>
        <w:jc w:val="both"/>
        <w:rPr>
          <w:rFonts w:ascii="Calibri" w:eastAsia="Calibri" w:hAnsi="Calibri" w:cs="Calibri"/>
          <w:color w:val="000000"/>
        </w:rPr>
      </w:pPr>
      <w:r>
        <w:rPr>
          <w:rFonts w:ascii="Calibri" w:eastAsia="Calibri" w:hAnsi="Calibri" w:cs="Calibri"/>
          <w:color w:val="000000"/>
        </w:rPr>
        <w:br/>
        <w:t xml:space="preserve">On the other hand, the ships that are within scope of these criteria typically provide a transport service for goods and people. It follows that ships which can load and unload without port access or landside support </w:t>
      </w:r>
      <w:r>
        <w:rPr>
          <w:rFonts w:ascii="Calibri" w:eastAsia="Calibri" w:hAnsi="Calibri" w:cs="Calibri"/>
          <w:color w:val="000000"/>
        </w:rPr>
        <w:t>can provide a resilience benefit as this would facilitate the flow of goods and people, even following climate change-related disasters or emergencies. Another example of ships that might provide a resilience benefit are ice breakers, which can enable acce</w:t>
      </w:r>
      <w:r>
        <w:rPr>
          <w:rFonts w:ascii="Calibri" w:eastAsia="Calibri" w:hAnsi="Calibri" w:cs="Calibri"/>
          <w:color w:val="000000"/>
        </w:rPr>
        <w:t>ss to hard-to-reach locations and provide access to communities or critical waterways. In both cases the ship provides a resilience service, the first example is a technical capability that allows it to be resilient, the other is a specific service offered</w:t>
      </w:r>
      <w:r>
        <w:rPr>
          <w:rFonts w:ascii="Calibri" w:eastAsia="Calibri" w:hAnsi="Calibri" w:cs="Calibri"/>
          <w:color w:val="000000"/>
        </w:rPr>
        <w:t xml:space="preserve"> by the ship. </w:t>
      </w:r>
    </w:p>
    <w:p w14:paraId="0000056F" w14:textId="77777777" w:rsidR="001E40A1" w:rsidRDefault="001E40A1">
      <w:pPr>
        <w:jc w:val="both"/>
        <w:rPr>
          <w:rFonts w:ascii="Calibri" w:eastAsia="Calibri" w:hAnsi="Calibri" w:cs="Calibri"/>
          <w:color w:val="000000"/>
        </w:rPr>
      </w:pPr>
    </w:p>
    <w:p w14:paraId="00000570" w14:textId="77777777" w:rsidR="001E40A1" w:rsidRDefault="007A0446">
      <w:pPr>
        <w:jc w:val="both"/>
        <w:rPr>
          <w:rFonts w:ascii="Calibri" w:eastAsia="Calibri" w:hAnsi="Calibri" w:cs="Calibri"/>
          <w:color w:val="000000"/>
        </w:rPr>
      </w:pPr>
      <w:r>
        <w:rPr>
          <w:rFonts w:ascii="Calibri" w:eastAsia="Calibri" w:hAnsi="Calibri" w:cs="Calibri"/>
          <w:color w:val="000000"/>
        </w:rPr>
        <w:t xml:space="preserve">While these anecdotal cases were useful for highlighting how ships can provide a resilience benefit, there was insufficient evidence to suggest that additional benefit of these examples was sufficient to award certification without meeting </w:t>
      </w:r>
      <w:r>
        <w:rPr>
          <w:rFonts w:ascii="Calibri" w:eastAsia="Calibri" w:hAnsi="Calibri" w:cs="Calibri"/>
          <w:color w:val="000000"/>
        </w:rPr>
        <w:t xml:space="preserve">the mitigation criteria. </w:t>
      </w:r>
    </w:p>
    <w:p w14:paraId="00000571" w14:textId="77777777" w:rsidR="001E40A1" w:rsidRDefault="007A0446">
      <w:pPr>
        <w:jc w:val="both"/>
        <w:rPr>
          <w:rFonts w:ascii="Calibri" w:eastAsia="Calibri" w:hAnsi="Calibri" w:cs="Calibri"/>
          <w:color w:val="000000"/>
        </w:rPr>
      </w:pPr>
      <w:r>
        <w:rPr>
          <w:rFonts w:ascii="Calibri" w:eastAsia="Calibri" w:hAnsi="Calibri" w:cs="Calibri"/>
          <w:color w:val="000000"/>
        </w:rPr>
        <w:br/>
        <w:t>As such, there is no requirement to meet AREG Principles 4 &amp; 5 at this stage in the Shipping Criteria. This derogation will be subject to periodical review.</w:t>
      </w:r>
    </w:p>
    <w:p w14:paraId="00000572" w14:textId="77777777" w:rsidR="001E40A1" w:rsidRDefault="007A0446">
      <w:pPr>
        <w:rPr>
          <w:rFonts w:ascii="Calibri" w:eastAsia="Calibri" w:hAnsi="Calibri" w:cs="Calibri"/>
          <w:color w:val="000000"/>
        </w:rPr>
      </w:pPr>
      <w:r>
        <w:br w:type="page"/>
      </w:r>
    </w:p>
    <w:p w14:paraId="00000573" w14:textId="77777777" w:rsidR="001E40A1" w:rsidRDefault="007A0446">
      <w:pPr>
        <w:pStyle w:val="Heading1"/>
      </w:pPr>
      <w:bookmarkStart w:id="103" w:name="_heading=h.36ei31r" w:colFirst="0" w:colLast="0"/>
      <w:bookmarkEnd w:id="103"/>
      <w:r>
        <w:lastRenderedPageBreak/>
        <w:t>Appendix 5: Summary of public consultation</w:t>
      </w:r>
    </w:p>
    <w:p w14:paraId="00000574" w14:textId="77777777" w:rsidR="001E40A1" w:rsidRDefault="001E40A1">
      <w:pPr>
        <w:rPr>
          <w:rFonts w:ascii="Calibri" w:eastAsia="Calibri" w:hAnsi="Calibri" w:cs="Calibri"/>
        </w:rPr>
      </w:pPr>
    </w:p>
    <w:tbl>
      <w:tblPr>
        <w:tblStyle w:val="af"/>
        <w:tblW w:w="97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972"/>
        <w:gridCol w:w="6804"/>
      </w:tblGrid>
      <w:tr w:rsidR="001E40A1" w14:paraId="601047CE" w14:textId="77777777">
        <w:tc>
          <w:tcPr>
            <w:tcW w:w="2972" w:type="dxa"/>
          </w:tcPr>
          <w:p w14:paraId="00000575"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Feedback Summary</w:t>
            </w:r>
          </w:p>
        </w:tc>
        <w:tc>
          <w:tcPr>
            <w:tcW w:w="6804" w:type="dxa"/>
          </w:tcPr>
          <w:p w14:paraId="00000576"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Feedback Response</w:t>
            </w:r>
          </w:p>
        </w:tc>
      </w:tr>
      <w:tr w:rsidR="001E40A1" w14:paraId="6B9F8C5D" w14:textId="77777777">
        <w:tc>
          <w:tcPr>
            <w:tcW w:w="2972" w:type="dxa"/>
          </w:tcPr>
          <w:p w14:paraId="00000577"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Exclusion of fossil fuel carriers</w:t>
            </w:r>
          </w:p>
          <w:p w14:paraId="00000578" w14:textId="77777777" w:rsidR="001E40A1" w:rsidRPr="000F6EDC" w:rsidRDefault="001E40A1">
            <w:pPr>
              <w:rPr>
                <w:rFonts w:ascii="Calibri" w:eastAsia="Calibri" w:hAnsi="Calibri" w:cs="Calibri"/>
                <w:color w:val="000000" w:themeColor="text1"/>
                <w:sz w:val="22"/>
                <w:szCs w:val="22"/>
              </w:rPr>
            </w:pPr>
          </w:p>
          <w:p w14:paraId="00000579"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Excluding fossil fuel carriers reduces the effectiveness of these criteria in helping fossil fuel carriers (which represent a significant portion of the global fleet) decarbonise.</w:t>
            </w:r>
            <w:r w:rsidRPr="000F6EDC">
              <w:rPr>
                <w:rFonts w:ascii="Calibri" w:eastAsia="Calibri" w:hAnsi="Calibri" w:cs="Calibri"/>
                <w:color w:val="000000" w:themeColor="text1"/>
                <w:sz w:val="22"/>
                <w:szCs w:val="22"/>
              </w:rPr>
              <w:t xml:space="preserve"> </w:t>
            </w:r>
          </w:p>
          <w:p w14:paraId="0000057A" w14:textId="77777777" w:rsidR="001E40A1" w:rsidRPr="000F6EDC" w:rsidRDefault="001E40A1">
            <w:pPr>
              <w:rPr>
                <w:rFonts w:ascii="Calibri" w:eastAsia="Calibri" w:hAnsi="Calibri" w:cs="Calibri"/>
                <w:color w:val="000000" w:themeColor="text1"/>
                <w:sz w:val="22"/>
                <w:szCs w:val="22"/>
              </w:rPr>
            </w:pPr>
          </w:p>
          <w:p w14:paraId="0000057B"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Fur</w:t>
            </w:r>
            <w:r w:rsidRPr="000F6EDC">
              <w:rPr>
                <w:rFonts w:ascii="Calibri" w:eastAsia="Calibri" w:hAnsi="Calibri" w:cs="Calibri"/>
                <w:color w:val="000000" w:themeColor="text1"/>
                <w:sz w:val="22"/>
                <w:szCs w:val="22"/>
              </w:rPr>
              <w:t>thermore, e</w:t>
            </w:r>
            <w:r w:rsidRPr="000F6EDC">
              <w:rPr>
                <w:rFonts w:ascii="Calibri" w:eastAsia="Calibri" w:hAnsi="Calibri" w:cs="Calibri"/>
                <w:color w:val="000000" w:themeColor="text1"/>
                <w:sz w:val="22"/>
                <w:szCs w:val="22"/>
              </w:rPr>
              <w:t>xcluding LNG transport also limits the transitions across the energy systems because LNG can be used as a bridging fuel.</w:t>
            </w:r>
            <w:r w:rsidRPr="000F6EDC">
              <w:rPr>
                <w:rFonts w:ascii="Calibri" w:eastAsia="Calibri" w:hAnsi="Calibri" w:cs="Calibri"/>
                <w:color w:val="000000" w:themeColor="text1"/>
                <w:sz w:val="22"/>
                <w:szCs w:val="22"/>
              </w:rPr>
              <w:br/>
            </w:r>
            <w:r w:rsidRPr="000F6EDC">
              <w:rPr>
                <w:rFonts w:ascii="Calibri" w:eastAsia="Calibri" w:hAnsi="Calibri" w:cs="Calibri"/>
                <w:color w:val="000000" w:themeColor="text1"/>
                <w:sz w:val="22"/>
                <w:szCs w:val="22"/>
              </w:rPr>
              <w:br/>
              <w:t>Finally, dry bulk vessels can also be used to transport coal. So the draft criteria suggest that while there might not be g</w:t>
            </w:r>
            <w:r w:rsidRPr="000F6EDC">
              <w:rPr>
                <w:rFonts w:ascii="Calibri" w:eastAsia="Calibri" w:hAnsi="Calibri" w:cs="Calibri"/>
                <w:color w:val="000000" w:themeColor="text1"/>
                <w:sz w:val="22"/>
                <w:szCs w:val="22"/>
              </w:rPr>
              <w:t xml:space="preserve">reen bonds for LNG ships, there might for coal transporting ships. </w:t>
            </w:r>
          </w:p>
        </w:tc>
        <w:tc>
          <w:tcPr>
            <w:tcW w:w="6804" w:type="dxa"/>
          </w:tcPr>
          <w:p w14:paraId="0000057C"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We recognize that LNG vessels and crude carriers represent a significant portion of the world’s fleet, excluding them from Certification is a missed opportunity to transition this sector. </w:t>
            </w:r>
          </w:p>
          <w:p w14:paraId="0000057D" w14:textId="77777777" w:rsidR="001E40A1" w:rsidRPr="000F6EDC" w:rsidRDefault="001E40A1">
            <w:pPr>
              <w:rPr>
                <w:rFonts w:ascii="Calibri" w:eastAsia="Calibri" w:hAnsi="Calibri" w:cs="Calibri"/>
                <w:color w:val="000000" w:themeColor="text1"/>
                <w:sz w:val="22"/>
                <w:szCs w:val="22"/>
              </w:rPr>
            </w:pPr>
          </w:p>
          <w:p w14:paraId="0000057E"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However, the CBI Standard and Certification scheme is designed to provide a binary label on what assets are (or are not) aligned with the Paris Agreement. Such assets are simply not aligned with the Paris Agreement. </w:t>
            </w:r>
            <w:r w:rsidRPr="000F6EDC">
              <w:rPr>
                <w:rFonts w:ascii="Calibri" w:eastAsia="Calibri" w:hAnsi="Calibri" w:cs="Calibri"/>
                <w:color w:val="000000" w:themeColor="text1"/>
                <w:sz w:val="22"/>
                <w:szCs w:val="22"/>
              </w:rPr>
              <w:tab/>
            </w:r>
          </w:p>
          <w:p w14:paraId="0000057F" w14:textId="77777777" w:rsidR="001E40A1" w:rsidRPr="000F6EDC" w:rsidRDefault="001E40A1">
            <w:pPr>
              <w:rPr>
                <w:rFonts w:ascii="Calibri" w:eastAsia="Calibri" w:hAnsi="Calibri" w:cs="Calibri"/>
                <w:color w:val="000000" w:themeColor="text1"/>
                <w:sz w:val="22"/>
                <w:szCs w:val="22"/>
              </w:rPr>
            </w:pPr>
          </w:p>
          <w:p w14:paraId="00000580"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CBI has a blanket ban on assets and activities that are dedicated to supporting the fossil fuel sector. Currently, dedicated fossil fuel carrying vessels are excluded because such assets do not provide a substantial contribution to the Paris Agreement. </w:t>
            </w:r>
            <w:r w:rsidRPr="000F6EDC">
              <w:rPr>
                <w:rFonts w:ascii="Calibri" w:eastAsia="Calibri" w:hAnsi="Calibri" w:cs="Calibri"/>
                <w:color w:val="000000" w:themeColor="text1"/>
                <w:sz w:val="22"/>
                <w:szCs w:val="22"/>
              </w:rPr>
              <w:br/>
            </w:r>
            <w:r w:rsidRPr="000F6EDC">
              <w:rPr>
                <w:rFonts w:ascii="Calibri" w:eastAsia="Calibri" w:hAnsi="Calibri" w:cs="Calibri"/>
                <w:color w:val="000000" w:themeColor="text1"/>
                <w:sz w:val="22"/>
                <w:szCs w:val="22"/>
              </w:rPr>
              <w:br/>
              <w:t>T</w:t>
            </w:r>
            <w:r w:rsidRPr="000F6EDC">
              <w:rPr>
                <w:rFonts w:ascii="Calibri" w:eastAsia="Calibri" w:hAnsi="Calibri" w:cs="Calibri"/>
                <w:color w:val="000000" w:themeColor="text1"/>
                <w:sz w:val="22"/>
                <w:szCs w:val="22"/>
              </w:rPr>
              <w:t xml:space="preserve">he criteria are reviewed biennially, this exclusion can be reviewed if there is evidence that such assets can also be used to support activities that are aligned with the Paris Agreement. </w:t>
            </w:r>
            <w:r w:rsidRPr="000F6EDC">
              <w:rPr>
                <w:rFonts w:ascii="Calibri" w:eastAsia="Calibri" w:hAnsi="Calibri" w:cs="Calibri"/>
                <w:color w:val="000000" w:themeColor="text1"/>
                <w:sz w:val="22"/>
                <w:szCs w:val="22"/>
              </w:rPr>
              <w:br/>
            </w:r>
            <w:r w:rsidRPr="000F6EDC">
              <w:rPr>
                <w:rFonts w:ascii="Calibri" w:eastAsia="Calibri" w:hAnsi="Calibri" w:cs="Calibri"/>
                <w:color w:val="000000" w:themeColor="text1"/>
                <w:sz w:val="22"/>
                <w:szCs w:val="22"/>
              </w:rPr>
              <w:br/>
              <w:t>We have also expanded the ban on dedicated fossil fuel carriers to</w:t>
            </w:r>
            <w:r w:rsidRPr="000F6EDC">
              <w:rPr>
                <w:rFonts w:ascii="Calibri" w:eastAsia="Calibri" w:hAnsi="Calibri" w:cs="Calibri"/>
                <w:color w:val="000000" w:themeColor="text1"/>
                <w:sz w:val="22"/>
                <w:szCs w:val="22"/>
              </w:rPr>
              <w:t xml:space="preserve"> include a criteria for screening out dry bulk vessels which would be used to transport coal. </w:t>
            </w:r>
          </w:p>
        </w:tc>
      </w:tr>
      <w:tr w:rsidR="001E40A1" w14:paraId="62D8C684" w14:textId="77777777">
        <w:tc>
          <w:tcPr>
            <w:tcW w:w="2972" w:type="dxa"/>
          </w:tcPr>
          <w:p w14:paraId="00000581"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Ambition of Trajectory</w:t>
            </w:r>
          </w:p>
          <w:p w14:paraId="00000582" w14:textId="77777777" w:rsidR="001E40A1" w:rsidRPr="000F6EDC" w:rsidRDefault="001E40A1">
            <w:pPr>
              <w:rPr>
                <w:rFonts w:ascii="Calibri" w:eastAsia="Calibri" w:hAnsi="Calibri" w:cs="Calibri"/>
                <w:color w:val="000000" w:themeColor="text1"/>
                <w:sz w:val="22"/>
                <w:szCs w:val="22"/>
              </w:rPr>
            </w:pPr>
          </w:p>
          <w:p w14:paraId="00000583"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The criteria are too ambitious, they are not aligned with the IMO, and there are no realistic opportunities for a ship to be net-zero em</w:t>
            </w:r>
            <w:r w:rsidRPr="000F6EDC">
              <w:rPr>
                <w:rFonts w:ascii="Calibri" w:eastAsia="Calibri" w:hAnsi="Calibri" w:cs="Calibri"/>
                <w:color w:val="000000" w:themeColor="text1"/>
                <w:sz w:val="22"/>
                <w:szCs w:val="22"/>
              </w:rPr>
              <w:t>issions today.</w:t>
            </w:r>
          </w:p>
        </w:tc>
        <w:tc>
          <w:tcPr>
            <w:tcW w:w="6804" w:type="dxa"/>
          </w:tcPr>
          <w:p w14:paraId="00000584"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The linear decline/slope is a function of both the climate science which defines what would be required for a proportionate response by shipping to the overall mitigation challenge across the whole economy and the potential pathway for GHG r</w:t>
            </w:r>
            <w:r w:rsidRPr="000F6EDC">
              <w:rPr>
                <w:rFonts w:ascii="Calibri" w:eastAsia="Calibri" w:hAnsi="Calibri" w:cs="Calibri"/>
                <w:color w:val="000000" w:themeColor="text1"/>
                <w:sz w:val="22"/>
                <w:szCs w:val="22"/>
              </w:rPr>
              <w:t>eduction in the shipping sector.</w:t>
            </w:r>
          </w:p>
          <w:p w14:paraId="00000585" w14:textId="77777777" w:rsidR="001E40A1" w:rsidRPr="000F6EDC" w:rsidRDefault="001E40A1">
            <w:pPr>
              <w:rPr>
                <w:rFonts w:ascii="Calibri" w:eastAsia="Calibri" w:hAnsi="Calibri" w:cs="Calibri"/>
                <w:color w:val="000000" w:themeColor="text1"/>
                <w:sz w:val="22"/>
                <w:szCs w:val="22"/>
              </w:rPr>
            </w:pPr>
          </w:p>
          <w:p w14:paraId="00000586"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Temperature rise is a function of cumulative emissions. The pathway of emissions reduction is therefore as important as the year in which zero emissions is reached. The commonly referenced target (for all sectors) of zero </w:t>
            </w:r>
            <w:r w:rsidRPr="000F6EDC">
              <w:rPr>
                <w:rFonts w:ascii="Calibri" w:eastAsia="Calibri" w:hAnsi="Calibri" w:cs="Calibri"/>
                <w:color w:val="000000" w:themeColor="text1"/>
                <w:sz w:val="22"/>
                <w:szCs w:val="22"/>
              </w:rPr>
              <w:t xml:space="preserve">emissions before 2050 is only aligned to the Paris Agreement temperature goals if accompanied with a high rate of reduction to that target. </w:t>
            </w:r>
          </w:p>
        </w:tc>
      </w:tr>
      <w:tr w:rsidR="001E40A1" w14:paraId="3144A42D" w14:textId="77777777">
        <w:tc>
          <w:tcPr>
            <w:tcW w:w="2972" w:type="dxa"/>
          </w:tcPr>
          <w:p w14:paraId="00000587"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Choice of Metrics</w:t>
            </w:r>
          </w:p>
          <w:p w14:paraId="00000588" w14:textId="77777777" w:rsidR="001E40A1" w:rsidRPr="000F6EDC" w:rsidRDefault="001E40A1">
            <w:pPr>
              <w:rPr>
                <w:rFonts w:ascii="Calibri" w:eastAsia="Calibri" w:hAnsi="Calibri" w:cs="Calibri"/>
                <w:color w:val="000000" w:themeColor="text1"/>
                <w:sz w:val="22"/>
                <w:szCs w:val="22"/>
              </w:rPr>
            </w:pPr>
          </w:p>
          <w:p w14:paraId="00000589"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EEOI and AER metrics do not account for the full life cycle emissions of fuels. This does not treat all fuels equally. </w:t>
            </w:r>
          </w:p>
        </w:tc>
        <w:tc>
          <w:tcPr>
            <w:tcW w:w="6804" w:type="dxa"/>
          </w:tcPr>
          <w:p w14:paraId="0000058A" w14:textId="77777777" w:rsidR="001E40A1" w:rsidRPr="000F6EDC" w:rsidRDefault="007A0446">
            <w:pPr>
              <w:pStyle w:val="Heading3"/>
              <w:outlineLvl w:val="2"/>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Well-to-wake metrics have their benefits. However, such metrics are currently unavailable. The CBI criteria require measurement, not est</w:t>
            </w:r>
            <w:r w:rsidRPr="000F6EDC">
              <w:rPr>
                <w:rFonts w:ascii="Calibri" w:eastAsia="Calibri" w:hAnsi="Calibri" w:cs="Calibri"/>
                <w:color w:val="000000" w:themeColor="text1"/>
                <w:sz w:val="22"/>
                <w:szCs w:val="22"/>
              </w:rPr>
              <w:t xml:space="preserve">imation of emissions. Such measurement is not currently available for the upstream emissions associated with the different energy systems that the transition will require. </w:t>
            </w:r>
          </w:p>
          <w:p w14:paraId="0000058B" w14:textId="77777777" w:rsidR="001E40A1" w:rsidRPr="000F6EDC" w:rsidRDefault="001E40A1">
            <w:pPr>
              <w:pStyle w:val="Heading3"/>
              <w:outlineLvl w:val="2"/>
              <w:rPr>
                <w:rFonts w:ascii="Calibri" w:eastAsia="Calibri" w:hAnsi="Calibri" w:cs="Calibri"/>
                <w:color w:val="000000" w:themeColor="text1"/>
                <w:sz w:val="22"/>
                <w:szCs w:val="22"/>
              </w:rPr>
            </w:pPr>
          </w:p>
          <w:p w14:paraId="0000058C" w14:textId="77777777" w:rsidR="001E40A1" w:rsidRPr="000F6EDC" w:rsidRDefault="007A0446">
            <w:pPr>
              <w:pStyle w:val="Heading3"/>
              <w:outlineLvl w:val="2"/>
              <w:rPr>
                <w:rFonts w:ascii="Calibri" w:eastAsia="Calibri" w:hAnsi="Calibri" w:cs="Calibri"/>
                <w:color w:val="000000" w:themeColor="text1"/>
                <w:sz w:val="22"/>
                <w:szCs w:val="22"/>
              </w:rPr>
            </w:pPr>
            <w:bookmarkStart w:id="104" w:name="_heading=h.1ljsd9k" w:colFirst="0" w:colLast="0"/>
            <w:bookmarkEnd w:id="104"/>
            <w:r w:rsidRPr="000F6EDC">
              <w:rPr>
                <w:rFonts w:ascii="Calibri" w:eastAsia="Calibri" w:hAnsi="Calibri" w:cs="Calibri"/>
                <w:color w:val="000000" w:themeColor="text1"/>
                <w:sz w:val="22"/>
                <w:szCs w:val="22"/>
              </w:rPr>
              <w:t xml:space="preserve">That said, the shipping criteria will be reviewed on a biennial basis and will be </w:t>
            </w:r>
            <w:r w:rsidRPr="000F6EDC">
              <w:rPr>
                <w:rFonts w:ascii="Calibri" w:eastAsia="Calibri" w:hAnsi="Calibri" w:cs="Calibri"/>
                <w:color w:val="000000" w:themeColor="text1"/>
                <w:sz w:val="22"/>
                <w:szCs w:val="22"/>
              </w:rPr>
              <w:t xml:space="preserve">updated as more evidence becomes available. </w:t>
            </w:r>
          </w:p>
        </w:tc>
      </w:tr>
      <w:tr w:rsidR="001E40A1" w14:paraId="315B0D3E" w14:textId="77777777">
        <w:tc>
          <w:tcPr>
            <w:tcW w:w="2972" w:type="dxa"/>
          </w:tcPr>
          <w:p w14:paraId="0000058D"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Inclusion of logistics infrastructure</w:t>
            </w:r>
          </w:p>
          <w:p w14:paraId="0000058E"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Reefer units contribute to global warming through increased energy consumption and leakage of greenhouse </w:t>
            </w:r>
            <w:r w:rsidRPr="000F6EDC">
              <w:rPr>
                <w:rFonts w:ascii="Calibri" w:eastAsia="Calibri" w:hAnsi="Calibri" w:cs="Calibri"/>
                <w:color w:val="000000" w:themeColor="text1"/>
                <w:sz w:val="22"/>
                <w:szCs w:val="22"/>
              </w:rPr>
              <w:lastRenderedPageBreak/>
              <w:t xml:space="preserve">gasses, these have not been included in the criteria. </w:t>
            </w:r>
          </w:p>
          <w:p w14:paraId="0000058F" w14:textId="77777777" w:rsidR="001E40A1" w:rsidRPr="000F6EDC" w:rsidRDefault="001E40A1">
            <w:pPr>
              <w:rPr>
                <w:rFonts w:ascii="Calibri" w:eastAsia="Calibri" w:hAnsi="Calibri" w:cs="Calibri"/>
                <w:color w:val="000000" w:themeColor="text1"/>
                <w:sz w:val="22"/>
                <w:szCs w:val="22"/>
              </w:rPr>
            </w:pPr>
          </w:p>
        </w:tc>
        <w:tc>
          <w:tcPr>
            <w:tcW w:w="6804" w:type="dxa"/>
          </w:tcPr>
          <w:p w14:paraId="00000590"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lastRenderedPageBreak/>
              <w:t>While recog</w:t>
            </w:r>
            <w:r w:rsidRPr="000F6EDC">
              <w:rPr>
                <w:rFonts w:ascii="Calibri" w:eastAsia="Calibri" w:hAnsi="Calibri" w:cs="Calibri"/>
                <w:color w:val="000000" w:themeColor="text1"/>
                <w:sz w:val="22"/>
                <w:szCs w:val="22"/>
              </w:rPr>
              <w:t xml:space="preserve">nizing that these assets offer a significant decarbonization opportunity they have not been included within the scope of the shipping criteria because they are an asset which transcends across multiple transport modalities. </w:t>
            </w:r>
          </w:p>
          <w:p w14:paraId="00000591" w14:textId="77777777" w:rsidR="001E40A1" w:rsidRPr="000F6EDC" w:rsidRDefault="001E40A1">
            <w:pPr>
              <w:rPr>
                <w:rFonts w:ascii="Calibri" w:eastAsia="Calibri" w:hAnsi="Calibri" w:cs="Calibri"/>
                <w:color w:val="000000" w:themeColor="text1"/>
                <w:sz w:val="22"/>
                <w:szCs w:val="22"/>
              </w:rPr>
            </w:pPr>
          </w:p>
          <w:p w14:paraId="00000592"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lastRenderedPageBreak/>
              <w:t>Reefer units, as well as land-</w:t>
            </w:r>
            <w:r w:rsidRPr="000F6EDC">
              <w:rPr>
                <w:rFonts w:ascii="Calibri" w:eastAsia="Calibri" w:hAnsi="Calibri" w:cs="Calibri"/>
                <w:color w:val="000000" w:themeColor="text1"/>
                <w:sz w:val="22"/>
                <w:szCs w:val="22"/>
              </w:rPr>
              <w:t xml:space="preserve">side port infrastructure and other logistics terminals will be reviewed as part of updates to our overall transport criteria. </w:t>
            </w:r>
          </w:p>
        </w:tc>
      </w:tr>
      <w:tr w:rsidR="001E40A1" w14:paraId="0D17D486" w14:textId="77777777">
        <w:tc>
          <w:tcPr>
            <w:tcW w:w="2972" w:type="dxa"/>
          </w:tcPr>
          <w:p w14:paraId="00000593"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lastRenderedPageBreak/>
              <w:t>Clarity on Threshold</w:t>
            </w:r>
          </w:p>
          <w:p w14:paraId="00000594" w14:textId="77777777" w:rsidR="001E40A1" w:rsidRPr="000F6EDC" w:rsidRDefault="001E40A1">
            <w:pPr>
              <w:rPr>
                <w:rFonts w:ascii="Calibri" w:eastAsia="Calibri" w:hAnsi="Calibri" w:cs="Calibri"/>
                <w:b/>
                <w:color w:val="000000" w:themeColor="text1"/>
                <w:sz w:val="22"/>
                <w:szCs w:val="22"/>
              </w:rPr>
            </w:pPr>
          </w:p>
          <w:p w14:paraId="00000595"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The exact requirement needs to be made clearer. What is the threshold for each class and size of ship?</w:t>
            </w:r>
          </w:p>
        </w:tc>
        <w:tc>
          <w:tcPr>
            <w:tcW w:w="6804" w:type="dxa"/>
          </w:tcPr>
          <w:p w14:paraId="00000596"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Iss</w:t>
            </w:r>
            <w:r w:rsidRPr="000F6EDC">
              <w:rPr>
                <w:rFonts w:ascii="Calibri" w:eastAsia="Calibri" w:hAnsi="Calibri" w:cs="Calibri"/>
                <w:color w:val="000000" w:themeColor="text1"/>
                <w:sz w:val="22"/>
                <w:szCs w:val="22"/>
              </w:rPr>
              <w:t>uers are required to show that each asset targeted for the Use of Proceeds from a Certified bond, is operating below the emissions intensity threshold in each respective year that the bond is outstanding.</w:t>
            </w:r>
          </w:p>
        </w:tc>
      </w:tr>
      <w:tr w:rsidR="001E40A1" w14:paraId="6640D9B7" w14:textId="77777777">
        <w:tc>
          <w:tcPr>
            <w:tcW w:w="2972" w:type="dxa"/>
          </w:tcPr>
          <w:p w14:paraId="00000597"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Managed Reduction Plans</w:t>
            </w:r>
          </w:p>
          <w:p w14:paraId="00000598" w14:textId="77777777" w:rsidR="001E40A1" w:rsidRPr="000F6EDC" w:rsidRDefault="001E40A1">
            <w:pPr>
              <w:rPr>
                <w:rFonts w:ascii="Calibri" w:eastAsia="Calibri" w:hAnsi="Calibri" w:cs="Calibri"/>
                <w:color w:val="000000" w:themeColor="text1"/>
                <w:sz w:val="22"/>
                <w:szCs w:val="22"/>
              </w:rPr>
            </w:pPr>
          </w:p>
          <w:p w14:paraId="00000599"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The requirements of the MRPs is unclear, due to the novelty of this document. How will issuers be judged on their MRPs?</w:t>
            </w:r>
          </w:p>
        </w:tc>
        <w:tc>
          <w:tcPr>
            <w:tcW w:w="6804" w:type="dxa"/>
          </w:tcPr>
          <w:p w14:paraId="0000059A"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The MRP seeks to encourage issuers to continue their decarbonisation efforts throughout the operating life of an asset, even after the C</w:t>
            </w:r>
            <w:r w:rsidRPr="000F6EDC">
              <w:rPr>
                <w:rFonts w:ascii="Calibri" w:eastAsia="Calibri" w:hAnsi="Calibri" w:cs="Calibri"/>
                <w:color w:val="000000" w:themeColor="text1"/>
                <w:sz w:val="22"/>
                <w:szCs w:val="22"/>
              </w:rPr>
              <w:t xml:space="preserve">ertified bond matures. </w:t>
            </w:r>
          </w:p>
          <w:p w14:paraId="0000059B" w14:textId="77777777" w:rsidR="001E40A1" w:rsidRPr="000F6EDC" w:rsidRDefault="001E40A1">
            <w:pPr>
              <w:rPr>
                <w:rFonts w:ascii="Calibri" w:eastAsia="Calibri" w:hAnsi="Calibri" w:cs="Calibri"/>
                <w:color w:val="000000" w:themeColor="text1"/>
                <w:sz w:val="22"/>
                <w:szCs w:val="22"/>
              </w:rPr>
            </w:pPr>
          </w:p>
          <w:p w14:paraId="0000059C"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We are concerned that issuers might Certify a bond which matures well before the end of the asset’s operating life, and that the asset’s emissions intensity will stop decreasing to zero by 2050. </w:t>
            </w:r>
          </w:p>
          <w:p w14:paraId="0000059D" w14:textId="77777777" w:rsidR="001E40A1" w:rsidRPr="000F6EDC" w:rsidRDefault="001E40A1">
            <w:pPr>
              <w:rPr>
                <w:rFonts w:ascii="Calibri" w:eastAsia="Calibri" w:hAnsi="Calibri" w:cs="Calibri"/>
                <w:color w:val="000000" w:themeColor="text1"/>
                <w:sz w:val="22"/>
                <w:szCs w:val="22"/>
              </w:rPr>
            </w:pPr>
          </w:p>
          <w:p w14:paraId="0000059E"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To that end, we have provided five</w:t>
            </w:r>
            <w:r w:rsidRPr="000F6EDC">
              <w:rPr>
                <w:rFonts w:ascii="Calibri" w:eastAsia="Calibri" w:hAnsi="Calibri" w:cs="Calibri"/>
                <w:color w:val="000000" w:themeColor="text1"/>
                <w:sz w:val="22"/>
                <w:szCs w:val="22"/>
              </w:rPr>
              <w:t xml:space="preserve"> questions which issuers must answer. These responses would constitute the issuer’s ‘MRP’. Submission of an MRP is mandatory but given the novelty of this document we are (at this stage) unable to point to ‘best practice’. We expect that over time, as the </w:t>
            </w:r>
            <w:r w:rsidRPr="000F6EDC">
              <w:rPr>
                <w:rFonts w:ascii="Calibri" w:eastAsia="Calibri" w:hAnsi="Calibri" w:cs="Calibri"/>
                <w:color w:val="000000" w:themeColor="text1"/>
                <w:sz w:val="22"/>
                <w:szCs w:val="22"/>
              </w:rPr>
              <w:t xml:space="preserve">volume of Certified bonds grows, we will be able to provide more guidance on what is required. This will be reviewed biennially. </w:t>
            </w:r>
          </w:p>
          <w:p w14:paraId="0000059F" w14:textId="77777777" w:rsidR="001E40A1" w:rsidRPr="000F6EDC" w:rsidRDefault="001E40A1">
            <w:pPr>
              <w:rPr>
                <w:rFonts w:ascii="Calibri" w:eastAsia="Calibri" w:hAnsi="Calibri" w:cs="Calibri"/>
                <w:color w:val="000000" w:themeColor="text1"/>
                <w:sz w:val="22"/>
                <w:szCs w:val="22"/>
              </w:rPr>
            </w:pPr>
          </w:p>
          <w:p w14:paraId="000005A0"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To clarify, we will not at this stage, withhold certification on the basis of an MRPs quality, provided that the relevant information is made available by the issuer. </w:t>
            </w:r>
          </w:p>
          <w:p w14:paraId="000005A1" w14:textId="77777777" w:rsidR="001E40A1" w:rsidRPr="000F6EDC" w:rsidRDefault="001E40A1">
            <w:pPr>
              <w:ind w:right="-105"/>
              <w:rPr>
                <w:rFonts w:ascii="Calibri" w:eastAsia="Calibri" w:hAnsi="Calibri" w:cs="Calibri"/>
                <w:color w:val="000000" w:themeColor="text1"/>
                <w:sz w:val="22"/>
                <w:szCs w:val="22"/>
              </w:rPr>
            </w:pPr>
          </w:p>
        </w:tc>
      </w:tr>
      <w:tr w:rsidR="001E40A1" w14:paraId="60ED34CB" w14:textId="77777777">
        <w:tc>
          <w:tcPr>
            <w:tcW w:w="2972" w:type="dxa"/>
          </w:tcPr>
          <w:p w14:paraId="000005A2" w14:textId="77777777" w:rsidR="001E40A1" w:rsidRPr="000F6EDC" w:rsidRDefault="007A0446">
            <w:pPr>
              <w:rPr>
                <w:rFonts w:ascii="Calibri" w:eastAsia="Calibri" w:hAnsi="Calibri" w:cs="Calibri"/>
                <w:b/>
                <w:color w:val="000000" w:themeColor="text1"/>
                <w:sz w:val="22"/>
                <w:szCs w:val="22"/>
              </w:rPr>
            </w:pPr>
            <w:r w:rsidRPr="000F6EDC">
              <w:rPr>
                <w:rFonts w:ascii="Calibri" w:eastAsia="Calibri" w:hAnsi="Calibri" w:cs="Calibri"/>
                <w:b/>
                <w:color w:val="000000" w:themeColor="text1"/>
                <w:sz w:val="22"/>
                <w:szCs w:val="22"/>
              </w:rPr>
              <w:t>Clarity on BioLNG</w:t>
            </w:r>
          </w:p>
          <w:p w14:paraId="000005A3" w14:textId="77777777" w:rsidR="001E40A1" w:rsidRPr="000F6EDC" w:rsidRDefault="001E40A1">
            <w:pPr>
              <w:rPr>
                <w:rFonts w:ascii="Calibri" w:eastAsia="Calibri" w:hAnsi="Calibri" w:cs="Calibri"/>
                <w:color w:val="000000" w:themeColor="text1"/>
                <w:sz w:val="22"/>
                <w:szCs w:val="22"/>
              </w:rPr>
            </w:pPr>
          </w:p>
          <w:p w14:paraId="000005A4"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BioLNG presents an opportunity for issuers to cut emissions without</w:t>
            </w:r>
            <w:r w:rsidRPr="000F6EDC">
              <w:rPr>
                <w:rFonts w:ascii="Calibri" w:eastAsia="Calibri" w:hAnsi="Calibri" w:cs="Calibri"/>
                <w:color w:val="000000" w:themeColor="text1"/>
                <w:sz w:val="22"/>
                <w:szCs w:val="22"/>
              </w:rPr>
              <w:t xml:space="preserve"> incurring major costs. What is the Shipping Criteria’s position of BioLNG? </w:t>
            </w:r>
          </w:p>
        </w:tc>
        <w:tc>
          <w:tcPr>
            <w:tcW w:w="6804" w:type="dxa"/>
          </w:tcPr>
          <w:p w14:paraId="000005A5"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BioLNG provides a significant opportunity to reduce emissions from the shipping sector. However, there is a substantial challenge in ensuring that BioLNG is sourced from feedstock</w:t>
            </w:r>
            <w:r w:rsidRPr="000F6EDC">
              <w:rPr>
                <w:rFonts w:ascii="Calibri" w:eastAsia="Calibri" w:hAnsi="Calibri" w:cs="Calibri"/>
                <w:color w:val="000000" w:themeColor="text1"/>
                <w:sz w:val="22"/>
                <w:szCs w:val="22"/>
              </w:rPr>
              <w:t xml:space="preserve">s and practices that contribute to climate mitigation. The production of energy crops (primary bioenergy) is well known to contribute to climate change through deforestation and land-use change. </w:t>
            </w:r>
          </w:p>
          <w:p w14:paraId="000005A6" w14:textId="77777777" w:rsidR="001E40A1" w:rsidRPr="000F6EDC" w:rsidRDefault="001E40A1">
            <w:pPr>
              <w:rPr>
                <w:rFonts w:ascii="Calibri" w:eastAsia="Calibri" w:hAnsi="Calibri" w:cs="Calibri"/>
                <w:color w:val="000000" w:themeColor="text1"/>
                <w:sz w:val="22"/>
                <w:szCs w:val="22"/>
              </w:rPr>
            </w:pPr>
          </w:p>
          <w:p w14:paraId="000005A7"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To ensure that the Shipping Criteria enable rapid decarboni</w:t>
            </w:r>
            <w:r w:rsidRPr="000F6EDC">
              <w:rPr>
                <w:rFonts w:ascii="Calibri" w:eastAsia="Calibri" w:hAnsi="Calibri" w:cs="Calibri"/>
                <w:color w:val="000000" w:themeColor="text1"/>
                <w:sz w:val="22"/>
                <w:szCs w:val="22"/>
              </w:rPr>
              <w:t xml:space="preserve">zation of the shipping sector without simply shifting emissions to other areas, we will only deem BioLNG which is produced from Advanced Bioenergy sources as eligible. </w:t>
            </w:r>
            <w:r w:rsidRPr="000F6EDC">
              <w:rPr>
                <w:rFonts w:ascii="Calibri" w:eastAsia="Calibri" w:hAnsi="Calibri" w:cs="Calibri"/>
                <w:color w:val="000000" w:themeColor="text1"/>
                <w:sz w:val="22"/>
                <w:szCs w:val="22"/>
              </w:rPr>
              <w:br/>
            </w:r>
            <w:r w:rsidRPr="000F6EDC">
              <w:rPr>
                <w:rFonts w:ascii="Calibri" w:eastAsia="Calibri" w:hAnsi="Calibri" w:cs="Calibri"/>
                <w:color w:val="000000" w:themeColor="text1"/>
                <w:sz w:val="22"/>
                <w:szCs w:val="22"/>
              </w:rPr>
              <w:br/>
              <w:t xml:space="preserve">We derive the definition of Advanced Bioenergy from the EU Renewable Energy Directive </w:t>
            </w:r>
            <w:r w:rsidRPr="000F6EDC">
              <w:rPr>
                <w:rFonts w:ascii="Calibri" w:eastAsia="Calibri" w:hAnsi="Calibri" w:cs="Calibri"/>
                <w:color w:val="000000" w:themeColor="text1"/>
                <w:sz w:val="22"/>
                <w:szCs w:val="22"/>
              </w:rPr>
              <w:t xml:space="preserve">II (2018/2001/EU). </w:t>
            </w:r>
          </w:p>
          <w:p w14:paraId="000005A8" w14:textId="77777777" w:rsidR="001E40A1" w:rsidRPr="000F6EDC" w:rsidRDefault="001E40A1">
            <w:pPr>
              <w:rPr>
                <w:rFonts w:ascii="Calibri" w:eastAsia="Calibri" w:hAnsi="Calibri" w:cs="Calibri"/>
                <w:color w:val="000000" w:themeColor="text1"/>
                <w:sz w:val="22"/>
                <w:szCs w:val="22"/>
              </w:rPr>
            </w:pPr>
          </w:p>
          <w:p w14:paraId="000005A9" w14:textId="77777777" w:rsidR="001E40A1" w:rsidRPr="000F6EDC" w:rsidRDefault="007A0446">
            <w:pPr>
              <w:rPr>
                <w:rFonts w:ascii="Calibri" w:eastAsia="Calibri" w:hAnsi="Calibri" w:cs="Calibri"/>
                <w:color w:val="000000" w:themeColor="text1"/>
                <w:sz w:val="22"/>
                <w:szCs w:val="22"/>
              </w:rPr>
            </w:pPr>
            <w:r w:rsidRPr="000F6EDC">
              <w:rPr>
                <w:rFonts w:ascii="Calibri" w:eastAsia="Calibri" w:hAnsi="Calibri" w:cs="Calibri"/>
                <w:color w:val="000000" w:themeColor="text1"/>
                <w:sz w:val="22"/>
                <w:szCs w:val="22"/>
              </w:rPr>
              <w:t xml:space="preserve">Issuers who reference the use of Advanced Bioenergy in their MRPs are encouraged to submit certificates of origin where available, to prove that BioLNG used in their operations reflects the ambition of these criteria.  </w:t>
            </w:r>
          </w:p>
        </w:tc>
      </w:tr>
    </w:tbl>
    <w:p w14:paraId="000005AA" w14:textId="77777777" w:rsidR="001E40A1" w:rsidRDefault="001E40A1">
      <w:pPr>
        <w:rPr>
          <w:rFonts w:ascii="Calibri" w:eastAsia="Calibri" w:hAnsi="Calibri" w:cs="Calibri"/>
          <w:sz w:val="22"/>
          <w:szCs w:val="22"/>
        </w:rPr>
      </w:pPr>
    </w:p>
    <w:p w14:paraId="000005AB" w14:textId="77777777" w:rsidR="001E40A1" w:rsidRDefault="001E40A1">
      <w:pPr>
        <w:rPr>
          <w:rFonts w:ascii="Calibri" w:eastAsia="Calibri" w:hAnsi="Calibri" w:cs="Calibri"/>
        </w:rPr>
      </w:pPr>
    </w:p>
    <w:sectPr w:rsidR="001E40A1">
      <w:pgSz w:w="11906" w:h="16838"/>
      <w:pgMar w:top="1440" w:right="1105" w:bottom="1440" w:left="872"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2C27" w14:textId="77777777" w:rsidR="007A0446" w:rsidRDefault="007A0446">
      <w:r>
        <w:separator/>
      </w:r>
    </w:p>
  </w:endnote>
  <w:endnote w:type="continuationSeparator" w:id="0">
    <w:p w14:paraId="6A9C7487" w14:textId="77777777" w:rsidR="007A0446" w:rsidRDefault="007A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iutadella Regular">
    <w:altName w:val="Calibri"/>
    <w:panose1 w:val="020B0604020202020204"/>
    <w:charset w:val="00"/>
    <w:family w:val="auto"/>
    <w:pitch w:val="default"/>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ill Sans Nova Light">
    <w:panose1 w:val="020B0302020104020203"/>
    <w:charset w:val="00"/>
    <w:family w:val="swiss"/>
    <w:pitch w:val="variable"/>
    <w:sig w:usb0="8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5" w14:textId="77777777" w:rsidR="001E40A1" w:rsidRDefault="001E40A1">
    <w:pPr>
      <w:pBdr>
        <w:top w:val="nil"/>
        <w:left w:val="nil"/>
        <w:bottom w:val="nil"/>
        <w:right w:val="nil"/>
        <w:between w:val="nil"/>
      </w:pBdr>
      <w:tabs>
        <w:tab w:val="center" w:pos="4320"/>
        <w:tab w:val="right" w:pos="8640"/>
      </w:tabs>
      <w:rPr>
        <w:rFonts w:ascii="Gill Sans" w:eastAsia="Gill Sans" w:hAnsi="Gill Sans" w:cs="Gill Sans"/>
        <w:color w:val="000000"/>
      </w:rPr>
    </w:pPr>
  </w:p>
  <w:p w14:paraId="000005E6" w14:textId="77777777" w:rsidR="001E40A1" w:rsidRDefault="007A0446">
    <w:pPr>
      <w:pBdr>
        <w:top w:val="nil"/>
        <w:left w:val="nil"/>
        <w:bottom w:val="nil"/>
        <w:right w:val="nil"/>
        <w:between w:val="nil"/>
      </w:pBdr>
      <w:tabs>
        <w:tab w:val="center" w:pos="4320"/>
        <w:tab w:val="right" w:pos="8640"/>
      </w:tabs>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E1" w14:textId="38C3A41A" w:rsidR="001E40A1" w:rsidRDefault="007A0446">
    <w:pPr>
      <w:pBdr>
        <w:top w:val="nil"/>
        <w:left w:val="nil"/>
        <w:bottom w:val="nil"/>
        <w:right w:val="nil"/>
        <w:between w:val="nil"/>
      </w:pBdr>
      <w:tabs>
        <w:tab w:val="center" w:pos="4320"/>
        <w:tab w:val="right" w:pos="8640"/>
      </w:tabs>
      <w:jc w:val="right"/>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sidR="000F6EDC">
      <w:rPr>
        <w:rFonts w:ascii="Gill Sans" w:eastAsia="Gill Sans" w:hAnsi="Gill Sans" w:cs="Gill Sans"/>
        <w:color w:val="000000"/>
      </w:rPr>
      <w:fldChar w:fldCharType="separate"/>
    </w:r>
    <w:r w:rsidR="000F6EDC">
      <w:rPr>
        <w:rFonts w:ascii="Gill Sans" w:eastAsia="Gill Sans" w:hAnsi="Gill Sans" w:cs="Gill Sans"/>
        <w:noProof/>
        <w:color w:val="000000"/>
      </w:rPr>
      <w:t>0</w:t>
    </w:r>
    <w:r>
      <w:rPr>
        <w:rFonts w:ascii="Gill Sans" w:eastAsia="Gill Sans" w:hAnsi="Gill Sans" w:cs="Gill Sans"/>
        <w:color w:val="000000"/>
      </w:rPr>
      <w:fldChar w:fldCharType="end"/>
    </w:r>
  </w:p>
  <w:p w14:paraId="000005E2" w14:textId="77777777" w:rsidR="001E40A1" w:rsidRDefault="001E40A1">
    <w:pPr>
      <w:pBdr>
        <w:top w:val="nil"/>
        <w:left w:val="nil"/>
        <w:bottom w:val="nil"/>
        <w:right w:val="nil"/>
        <w:between w:val="nil"/>
      </w:pBdr>
      <w:tabs>
        <w:tab w:val="center" w:pos="4320"/>
        <w:tab w:val="right" w:pos="8640"/>
      </w:tabs>
      <w:rPr>
        <w:rFonts w:ascii="Gill Sans" w:eastAsia="Gill Sans" w:hAnsi="Gill Sans" w:cs="Gill Sans"/>
        <w:color w:val="000000"/>
      </w:rPr>
    </w:pPr>
  </w:p>
  <w:p w14:paraId="000005E3" w14:textId="77777777" w:rsidR="001E40A1" w:rsidRDefault="001E40A1">
    <w:pPr>
      <w:pBdr>
        <w:top w:val="nil"/>
        <w:left w:val="nil"/>
        <w:bottom w:val="nil"/>
        <w:right w:val="nil"/>
        <w:between w:val="nil"/>
      </w:pBdr>
      <w:tabs>
        <w:tab w:val="center" w:pos="4320"/>
        <w:tab w:val="right" w:pos="8640"/>
      </w:tabs>
      <w:rPr>
        <w:rFonts w:ascii="Gill Sans" w:eastAsia="Gill Sans" w:hAnsi="Gill Sans" w:cs="Gill Sans"/>
        <w:color w:val="000000"/>
      </w:rPr>
    </w:pPr>
  </w:p>
  <w:p w14:paraId="000005E4" w14:textId="77777777" w:rsidR="001E40A1" w:rsidRDefault="001E40A1">
    <w:pPr>
      <w:pBdr>
        <w:top w:val="nil"/>
        <w:left w:val="nil"/>
        <w:bottom w:val="nil"/>
        <w:right w:val="nil"/>
        <w:between w:val="nil"/>
      </w:pBdr>
      <w:tabs>
        <w:tab w:val="center" w:pos="4320"/>
        <w:tab w:val="right" w:pos="8640"/>
      </w:tabs>
      <w:rPr>
        <w:rFonts w:ascii="Gill Sans" w:eastAsia="Gill Sans" w:hAnsi="Gill Sans" w:cs="Gill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4862" w14:textId="77777777" w:rsidR="007A0446" w:rsidRDefault="007A0446">
      <w:r>
        <w:separator/>
      </w:r>
    </w:p>
  </w:footnote>
  <w:footnote w:type="continuationSeparator" w:id="0">
    <w:p w14:paraId="7EB9D5AE" w14:textId="77777777" w:rsidR="007A0446" w:rsidRDefault="007A0446">
      <w:r>
        <w:continuationSeparator/>
      </w:r>
    </w:p>
  </w:footnote>
  <w:footnote w:id="1">
    <w:p w14:paraId="000005AC"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According to Climate Tracker, under current policies we could expect 3.1-3.7°C: 2018. Temperatures: Addressing global warming. Accessed on 17.05.2018. Available from: </w:t>
      </w:r>
      <w:hyperlink r:id="rId1">
        <w:r>
          <w:rPr>
            <w:rFonts w:ascii="Calibri" w:eastAsia="Calibri" w:hAnsi="Calibri" w:cs="Calibri"/>
            <w:color w:val="000000"/>
            <w:sz w:val="15"/>
            <w:szCs w:val="15"/>
            <w:u w:val="single"/>
          </w:rPr>
          <w:t>http://climateactiontracker.org/global.html</w:t>
        </w:r>
      </w:hyperlink>
    </w:p>
  </w:footnote>
  <w:footnote w:id="2">
    <w:p w14:paraId="000005AD"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The Global Commission on the Economy and Climate, 2016a. The Sustainable Infrastructure Imperative: Financing for Better Growth and Development The 2016 New Climate Economy Report. (n.d.).</w:t>
      </w:r>
    </w:p>
  </w:footnote>
  <w:footnote w:id="3">
    <w:p w14:paraId="000005AE"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Ibid.</w:t>
      </w:r>
    </w:p>
  </w:footnote>
  <w:footnote w:id="4">
    <w:p w14:paraId="000005AF"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UNEP, 2016</w:t>
      </w:r>
    </w:p>
  </w:footnote>
  <w:footnote w:id="5">
    <w:p w14:paraId="000005B0"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TFCD. 2017. Final Report: Recommendations of the Task Force on Climate-related Financial Disclosures. Accessed on 17.05.2018. Available from: </w:t>
      </w:r>
      <w:hyperlink r:id="rId2">
        <w:r>
          <w:rPr>
            <w:rFonts w:ascii="Calibri" w:eastAsia="Calibri" w:hAnsi="Calibri" w:cs="Calibri"/>
            <w:color w:val="000000"/>
            <w:sz w:val="15"/>
            <w:szCs w:val="15"/>
            <w:u w:val="single"/>
          </w:rPr>
          <w:t>https://www.fsb-tcfd.org/</w:t>
        </w:r>
        <w:r>
          <w:rPr>
            <w:rFonts w:ascii="Calibri" w:eastAsia="Calibri" w:hAnsi="Calibri" w:cs="Calibri"/>
            <w:color w:val="000000"/>
            <w:sz w:val="15"/>
            <w:szCs w:val="15"/>
            <w:u w:val="single"/>
          </w:rPr>
          <w:t>publications/final-recommendations-report/</w:t>
        </w:r>
      </w:hyperlink>
      <w:r>
        <w:rPr>
          <w:rFonts w:ascii="Calibri" w:eastAsia="Calibri" w:hAnsi="Calibri" w:cs="Calibri"/>
          <w:color w:val="000000"/>
          <w:sz w:val="15"/>
          <w:szCs w:val="15"/>
        </w:rPr>
        <w:t xml:space="preserve">. Accessed on 04.06.2018. </w:t>
      </w:r>
    </w:p>
  </w:footnote>
  <w:footnote w:id="6">
    <w:p w14:paraId="000005B1"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International Maritime Organization, 2014. Third IMO GHG Study. Available at: </w:t>
      </w:r>
      <w:hyperlink r:id="rId3">
        <w:r>
          <w:rPr>
            <w:rFonts w:ascii="Calibri" w:eastAsia="Calibri" w:hAnsi="Calibri" w:cs="Calibri"/>
            <w:sz w:val="15"/>
            <w:szCs w:val="15"/>
          </w:rPr>
          <w:t>http://www.imo.org/en/OurWork/Environment/PollutionPrevention/AirPollution/Documents/Third%20Greenhouse%20Gas%20Study/GHG3%20Executive%20Summary%20and%20Report.pdf</w:t>
        </w:r>
      </w:hyperlink>
    </w:p>
  </w:footnote>
  <w:footnote w:id="7">
    <w:p w14:paraId="000005B2"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https://unctad</w:t>
      </w:r>
      <w:r>
        <w:rPr>
          <w:rFonts w:ascii="Calibri" w:eastAsia="Calibri" w:hAnsi="Calibri" w:cs="Calibri"/>
          <w:color w:val="000000"/>
          <w:sz w:val="15"/>
          <w:szCs w:val="15"/>
        </w:rPr>
        <w:t>.org/en/PublicationsLibrary/rmt2018_en.pdf</w:t>
      </w:r>
    </w:p>
  </w:footnote>
  <w:footnote w:id="8">
    <w:p w14:paraId="000005B3"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Ibid.</w:t>
      </w:r>
    </w:p>
  </w:footnote>
  <w:footnote w:id="9">
    <w:p w14:paraId="000005B4"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https://www.globalmaritimeforum.org/content/2018/10/Global-Maritime-Issues-Monitor-2018.pdf</w:t>
      </w:r>
    </w:p>
  </w:footnote>
  <w:footnote w:id="10">
    <w:p w14:paraId="000005B5"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International Maritime Organization, 2014. Third IMO GHG Study. Available </w:t>
      </w:r>
      <w:r>
        <w:rPr>
          <w:rFonts w:ascii="Calibri" w:eastAsia="Calibri" w:hAnsi="Calibri" w:cs="Calibri"/>
          <w:color w:val="0000FF"/>
          <w:sz w:val="15"/>
          <w:szCs w:val="15"/>
        </w:rPr>
        <w:t>online</w:t>
      </w:r>
      <w:r>
        <w:rPr>
          <w:rFonts w:ascii="Calibri" w:eastAsia="Calibri" w:hAnsi="Calibri" w:cs="Calibri"/>
          <w:color w:val="000000"/>
          <w:sz w:val="15"/>
          <w:szCs w:val="15"/>
        </w:rPr>
        <w:t xml:space="preserve">. </w:t>
      </w:r>
    </w:p>
  </w:footnote>
  <w:footnote w:id="11">
    <w:p w14:paraId="000005B6"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Ibid.</w:t>
      </w:r>
    </w:p>
  </w:footnote>
  <w:footnote w:id="12">
    <w:p w14:paraId="000005B7"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vertAlign w:val="superscript"/>
        </w:rPr>
        <w:t xml:space="preserve"> </w:t>
      </w:r>
      <w:r>
        <w:rPr>
          <w:rFonts w:ascii="Calibri" w:eastAsia="Calibri" w:hAnsi="Calibri" w:cs="Calibri"/>
          <w:color w:val="000000"/>
          <w:sz w:val="15"/>
          <w:szCs w:val="15"/>
        </w:rPr>
        <w:t>EEOI is one of the possible metrics to be used for setting the CBI Criteria. The choice of metric will be discussed in Chapter 4.</w:t>
      </w:r>
    </w:p>
  </w:footnote>
  <w:footnote w:id="13">
    <w:p w14:paraId="000005B8"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IMO ISWG-GHG-1 INF.2 – A scientific study on possible reduction targets and their associated pathways.</w:t>
      </w:r>
    </w:p>
  </w:footnote>
  <w:footnote w:id="14">
    <w:p w14:paraId="000005B9"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vertAlign w:val="superscript"/>
        </w:rPr>
        <w:t xml:space="preserve"> </w:t>
      </w:r>
      <w:r>
        <w:rPr>
          <w:rFonts w:ascii="Calibri" w:eastAsia="Calibri" w:hAnsi="Calibri" w:cs="Calibri"/>
          <w:color w:val="000000"/>
          <w:sz w:val="15"/>
          <w:szCs w:val="15"/>
        </w:rPr>
        <w:t>As defined in the E</w:t>
      </w:r>
      <w:r>
        <w:rPr>
          <w:rFonts w:ascii="Calibri" w:eastAsia="Calibri" w:hAnsi="Calibri" w:cs="Calibri"/>
          <w:color w:val="000000"/>
          <w:sz w:val="15"/>
          <w:szCs w:val="15"/>
        </w:rPr>
        <w:t>U Renewable Energy Directive Recast II</w:t>
      </w:r>
    </w:p>
  </w:footnote>
  <w:footnote w:id="15">
    <w:p w14:paraId="000005BA"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A standard baseline year of 2010 is used because of historical data available from the Third IMO GHG Study.</w:t>
      </w:r>
    </w:p>
  </w:footnote>
  <w:footnote w:id="16">
    <w:p w14:paraId="000005BB"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IMO ISWG-GHG-1 INF.2 – A scientific study on possible reduction targets and their associated pathways. </w:t>
      </w:r>
      <w:hyperlink r:id="rId4">
        <w:r>
          <w:rPr>
            <w:rFonts w:ascii="Calibri" w:eastAsia="Calibri" w:hAnsi="Calibri" w:cs="Calibri"/>
            <w:color w:val="0000FF"/>
            <w:sz w:val="15"/>
            <w:szCs w:val="15"/>
            <w:u w:val="single"/>
          </w:rPr>
          <w:t>http://www.imo.org/en/OurWork/Environment/PollutionPrevention/AirPollution/Documents/ISWG-GHG%201-2.pdf</w:t>
        </w:r>
      </w:hyperlink>
    </w:p>
  </w:footnote>
  <w:footnote w:id="17">
    <w:p w14:paraId="000005BC"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color w:val="000000"/>
          <w:sz w:val="15"/>
          <w:szCs w:val="15"/>
          <w:vertAlign w:val="superscript"/>
        </w:rPr>
        <w:t xml:space="preserve"> I</w:t>
      </w:r>
      <w:r>
        <w:rPr>
          <w:rFonts w:ascii="Calibri" w:eastAsia="Calibri" w:hAnsi="Calibri" w:cs="Calibri"/>
          <w:sz w:val="15"/>
          <w:szCs w:val="15"/>
        </w:rPr>
        <w:t>n April 2018, MEPC 72 adopted resolution MEPC.304(72) on the Initial IMO Strategy on reduction of GHG emissions from ships (the Initial Strategy). This important agreement represents the framework for further action of the Committee, setting out the future</w:t>
      </w:r>
      <w:r>
        <w:rPr>
          <w:rFonts w:ascii="Calibri" w:eastAsia="Calibri" w:hAnsi="Calibri" w:cs="Calibri"/>
          <w:sz w:val="15"/>
          <w:szCs w:val="15"/>
        </w:rPr>
        <w:t xml:space="preserve"> vision for international shipping. The Initial Strategy envisages for the first time a reduction in total GHG emissions from international shipping which, it says, should peak as soon as possible and to reduce the total annual GHG emissions by at least 50</w:t>
      </w:r>
      <w:r>
        <w:rPr>
          <w:rFonts w:ascii="Calibri" w:eastAsia="Calibri" w:hAnsi="Calibri" w:cs="Calibri"/>
          <w:sz w:val="15"/>
          <w:szCs w:val="15"/>
        </w:rPr>
        <w:t>% by 2050 compared to 2008, while, at the same time, pursuing efforts towards phasing them out entirely. IMO Member States agreed to keep this Strategy under review, including adoption of a Revised Strategy in 2023.</w:t>
      </w:r>
    </w:p>
  </w:footnote>
  <w:footnote w:id="18">
    <w:p w14:paraId="000005BD"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IMO (2018). Resolution MEPC.304 (72) (</w:t>
      </w:r>
      <w:r>
        <w:rPr>
          <w:rFonts w:ascii="Calibri" w:eastAsia="Calibri" w:hAnsi="Calibri" w:cs="Calibri"/>
          <w:color w:val="000000"/>
          <w:sz w:val="15"/>
          <w:szCs w:val="15"/>
        </w:rPr>
        <w:t xml:space="preserve">adopted on 13 April 2018), Initial IMO strategy on reduction of GHG emissions from ships, IMO doc MEPC 72/17/Add. 1, Annex 11. </w:t>
      </w:r>
    </w:p>
  </w:footnote>
  <w:footnote w:id="19">
    <w:p w14:paraId="000005BE"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Carbon intensity is defined as the amount of CO2 emitted to provide 1 unit of transport work (typically measured in tonne-naut</w:t>
      </w:r>
      <w:r>
        <w:rPr>
          <w:rFonts w:ascii="Calibri" w:eastAsia="Calibri" w:hAnsi="Calibri" w:cs="Calibri"/>
          <w:color w:val="000000"/>
          <w:sz w:val="15"/>
          <w:szCs w:val="15"/>
        </w:rPr>
        <w:t>ical miles).</w:t>
      </w:r>
    </w:p>
  </w:footnote>
  <w:footnote w:id="20">
    <w:p w14:paraId="000005BF"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[Placeholder for IMO Strategy Ref]</w:t>
      </w:r>
    </w:p>
  </w:footnote>
  <w:footnote w:id="21">
    <w:p w14:paraId="000005C0"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IMO, MEPC.304(72), 2018.</w:t>
      </w:r>
    </w:p>
  </w:footnote>
  <w:footnote w:id="22">
    <w:p w14:paraId="000005C1"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The IEA’s “Below 2 Degrees” represents a 1.75° pathway.</w:t>
      </w:r>
    </w:p>
  </w:footnote>
  <w:footnote w:id="23">
    <w:p w14:paraId="000005C2"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w:t>
      </w:r>
      <w:hyperlink r:id="rId5">
        <w:r>
          <w:rPr>
            <w:rFonts w:ascii="Calibri" w:eastAsia="Calibri" w:hAnsi="Calibri" w:cs="Calibri"/>
            <w:color w:val="000000"/>
            <w:sz w:val="15"/>
            <w:szCs w:val="15"/>
            <w:u w:val="single"/>
          </w:rPr>
          <w:t>https://www.marpol-annex-vi.com/eedi-seemp/</w:t>
        </w:r>
      </w:hyperlink>
      <w:r>
        <w:rPr>
          <w:rFonts w:ascii="Calibri" w:eastAsia="Calibri" w:hAnsi="Calibri" w:cs="Calibri"/>
          <w:color w:val="000000"/>
          <w:sz w:val="15"/>
          <w:szCs w:val="15"/>
        </w:rPr>
        <w:t xml:space="preserve"> </w:t>
      </w:r>
    </w:p>
  </w:footnote>
  <w:footnote w:id="24">
    <w:p w14:paraId="000005C3"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https://u</w:t>
      </w:r>
      <w:r>
        <w:rPr>
          <w:rFonts w:ascii="Calibri" w:eastAsia="Calibri" w:hAnsi="Calibri" w:cs="Calibri"/>
          <w:color w:val="000000"/>
          <w:sz w:val="15"/>
          <w:szCs w:val="15"/>
        </w:rPr>
        <w:t>nctad.org/en/pages/newsdetails.aspx?OriginalVersionID=1949&amp;Sitemap_x0020_Taxonomy=UNCTAD%20Home ;#1721;#Transport;#2197;#Transport,%20Climate%20Change%20Impacts%20and%20Adaptation;#1788;#Transport%20Policy%20and%20Legislation;#2170;#Transport,%20Climate%20</w:t>
      </w:r>
      <w:r>
        <w:rPr>
          <w:rFonts w:ascii="Calibri" w:eastAsia="Calibri" w:hAnsi="Calibri" w:cs="Calibri"/>
          <w:color w:val="000000"/>
          <w:sz w:val="15"/>
          <w:szCs w:val="15"/>
        </w:rPr>
        <w:t>Change%20and%20Maritime%20Transport</w:t>
      </w:r>
    </w:p>
  </w:footnote>
  <w:footnote w:id="25">
    <w:p w14:paraId="000005C4"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w:t>
      </w:r>
      <w:r>
        <w:rPr>
          <w:rFonts w:ascii="Calibri" w:eastAsia="Calibri" w:hAnsi="Calibri" w:cs="Calibri"/>
          <w:color w:val="000000"/>
          <w:sz w:val="15"/>
          <w:szCs w:val="15"/>
        </w:rPr>
        <w:t>Bitner-Gregersen, E. (2013). Ship and offshore structure design in climate change perspective (SpringerBriefs in climate studies). Berlin; New York: Springer.</w:t>
      </w:r>
    </w:p>
  </w:footnote>
  <w:footnote w:id="26">
    <w:p w14:paraId="000005C5"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w:t>
      </w:r>
      <w:r>
        <w:rPr>
          <w:rFonts w:ascii="Calibri" w:eastAsia="Calibri" w:hAnsi="Calibri" w:cs="Calibri"/>
          <w:sz w:val="15"/>
          <w:szCs w:val="15"/>
          <w:highlight w:val="white"/>
        </w:rPr>
        <w:t>Alexandridis, Kavussanos, Kim, Tsouknidis, &amp; Visvikis. (2018). A survey of shipping finance research: Setting the future research agenda. Transportation Research Part E, 115, 164-212.</w:t>
      </w:r>
    </w:p>
  </w:footnote>
  <w:footnote w:id="27">
    <w:p w14:paraId="000005C6"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http://www.nortonrosefulbright.com/knowledge/publications/158513/trend</w:t>
      </w:r>
      <w:r>
        <w:rPr>
          <w:rFonts w:ascii="Calibri" w:eastAsia="Calibri" w:hAnsi="Calibri" w:cs="Calibri"/>
          <w:color w:val="000000"/>
          <w:sz w:val="15"/>
          <w:szCs w:val="15"/>
        </w:rPr>
        <w:t>s-in-ship-finance</w:t>
      </w:r>
    </w:p>
  </w:footnote>
  <w:footnote w:id="28">
    <w:p w14:paraId="000005C7"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w:t>
      </w:r>
      <w:r>
        <w:rPr>
          <w:rFonts w:ascii="Calibri" w:eastAsia="Calibri" w:hAnsi="Calibri" w:cs="Calibri"/>
          <w:sz w:val="15"/>
          <w:szCs w:val="15"/>
          <w:highlight w:val="white"/>
        </w:rPr>
        <w:t>The spot market is where financial instruments, such as commodities, currencies and securities, are traded for immediate delivery. Delivery is the exchange of cash for the financial instrument.</w:t>
      </w:r>
    </w:p>
    <w:p w14:paraId="000005C8" w14:textId="77777777" w:rsidR="001E40A1" w:rsidRDefault="001E40A1">
      <w:pPr>
        <w:pBdr>
          <w:top w:val="nil"/>
          <w:left w:val="nil"/>
          <w:bottom w:val="nil"/>
          <w:right w:val="nil"/>
          <w:between w:val="nil"/>
        </w:pBdr>
        <w:rPr>
          <w:rFonts w:ascii="Calibri" w:eastAsia="Calibri" w:hAnsi="Calibri" w:cs="Calibri"/>
          <w:color w:val="000000"/>
          <w:sz w:val="15"/>
          <w:szCs w:val="15"/>
        </w:rPr>
      </w:pPr>
    </w:p>
  </w:footnote>
  <w:footnote w:id="29">
    <w:p w14:paraId="000005C9"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In this particular case, “dedicated” me</w:t>
      </w:r>
      <w:r>
        <w:rPr>
          <w:rFonts w:ascii="Calibri" w:eastAsia="Calibri" w:hAnsi="Calibri" w:cs="Calibri"/>
          <w:color w:val="000000"/>
          <w:sz w:val="15"/>
          <w:szCs w:val="15"/>
        </w:rPr>
        <w:t>ans the asset is to be used only for the purposes of installation and operation of offshore wind energy facilities and nothing else. Assets used in sectors other than marine renewable energy or for purposes other than installation and operation are not eli</w:t>
      </w:r>
      <w:r>
        <w:rPr>
          <w:rFonts w:ascii="Calibri" w:eastAsia="Calibri" w:hAnsi="Calibri" w:cs="Calibri"/>
          <w:color w:val="000000"/>
          <w:sz w:val="15"/>
          <w:szCs w:val="15"/>
        </w:rPr>
        <w:t>gible.</w:t>
      </w:r>
    </w:p>
  </w:footnote>
  <w:footnote w:id="30">
    <w:p w14:paraId="000005CA"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w:t>
      </w:r>
      <w:r>
        <w:rPr>
          <w:rFonts w:ascii="Calibri" w:eastAsia="Calibri" w:hAnsi="Calibri" w:cs="Calibri"/>
          <w:color w:val="000000"/>
          <w:sz w:val="15"/>
          <w:szCs w:val="15"/>
        </w:rPr>
        <w:t>For Certification of WTIVs or Jack-up Rigs dedicated to the installation and operation of offshore wind energy assets, during pre-Certification, verifiers should ascertain that the vessel will be used solely for the installation, operation, mainte</w:t>
      </w:r>
      <w:r>
        <w:rPr>
          <w:rFonts w:ascii="Calibri" w:eastAsia="Calibri" w:hAnsi="Calibri" w:cs="Calibri"/>
          <w:color w:val="000000"/>
          <w:sz w:val="15"/>
          <w:szCs w:val="15"/>
        </w:rPr>
        <w:t>nance or decommissioning of renewable energy assets. Those assets that are used in other sectors (e.g. Oil and Gas industry) are not eligible. If this is not available before issuance, then verifiers must ensure on an annual, post-issuance reporting basis,</w:t>
      </w:r>
      <w:r>
        <w:rPr>
          <w:rFonts w:ascii="Calibri" w:eastAsia="Calibri" w:hAnsi="Calibri" w:cs="Calibri"/>
          <w:color w:val="000000"/>
          <w:sz w:val="15"/>
          <w:szCs w:val="15"/>
        </w:rPr>
        <w:t xml:space="preserve"> that the asset(s) have only been leased or operated for offshore wind energy installation/operation. This can be done through verification of receipts or accounts payable, against the overall revenue earned attributed to the asset. For more information pl</w:t>
      </w:r>
      <w:r>
        <w:rPr>
          <w:rFonts w:ascii="Calibri" w:eastAsia="Calibri" w:hAnsi="Calibri" w:cs="Calibri"/>
          <w:color w:val="000000"/>
          <w:sz w:val="15"/>
          <w:szCs w:val="15"/>
        </w:rPr>
        <w:t xml:space="preserve">ease see the documentation on the Marine Renewable Energy criteria: </w:t>
      </w:r>
      <w:hyperlink r:id="rId6">
        <w:r>
          <w:rPr>
            <w:rFonts w:ascii="Calibri" w:eastAsia="Calibri" w:hAnsi="Calibri" w:cs="Calibri"/>
            <w:sz w:val="15"/>
            <w:szCs w:val="15"/>
            <w:u w:val="single"/>
          </w:rPr>
          <w:t>https://www.climatebonds.net/standard/marine</w:t>
        </w:r>
      </w:hyperlink>
      <w:r>
        <w:rPr>
          <w:rFonts w:ascii="Calibri" w:eastAsia="Calibri" w:hAnsi="Calibri" w:cs="Calibri"/>
          <w:color w:val="000000"/>
          <w:sz w:val="15"/>
          <w:szCs w:val="15"/>
        </w:rPr>
        <w:t xml:space="preserve"> </w:t>
      </w:r>
    </w:p>
  </w:footnote>
  <w:footnote w:id="31">
    <w:p w14:paraId="000005CB"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Values vary between ship types and sizes, but by way of example the embodied</w:t>
      </w:r>
      <w:r>
        <w:rPr>
          <w:rFonts w:ascii="Calibri" w:eastAsia="Calibri" w:hAnsi="Calibri" w:cs="Calibri"/>
          <w:color w:val="000000"/>
          <w:sz w:val="15"/>
          <w:szCs w:val="15"/>
        </w:rPr>
        <w:t xml:space="preserve"> CO2 in a large tanker (VLCC) is approximately 90000 t. over its life. The emissions per annum from fuel combustion are approximately 20,000-60,000t depending on how the ship is operated.  Smith, T.W.P, Parker, S. Rehmatulla, N. On the speed of ships. </w:t>
      </w:r>
      <w:hyperlink r:id="rId7">
        <w:r>
          <w:rPr>
            <w:rFonts w:ascii="Calibri" w:eastAsia="Calibri" w:hAnsi="Calibri" w:cs="Calibri"/>
            <w:color w:val="000000"/>
            <w:sz w:val="15"/>
            <w:szCs w:val="15"/>
            <w:u w:val="single"/>
          </w:rPr>
          <w:t>www.lowcarbonshipping.co.uk</w:t>
        </w:r>
      </w:hyperlink>
      <w:r>
        <w:rPr>
          <w:rFonts w:ascii="Calibri" w:eastAsia="Calibri" w:hAnsi="Calibri" w:cs="Calibri"/>
          <w:color w:val="000000"/>
          <w:sz w:val="15"/>
          <w:szCs w:val="15"/>
        </w:rPr>
        <w:t>, Harish, C. R., Soumya S.K. (2015) Energy Consumption and Conservation in Shipbuilding. International Journal of Innovative Research and Development 4 7/26-31:</w:t>
      </w:r>
    </w:p>
  </w:footnote>
  <w:footnote w:id="32">
    <w:p w14:paraId="000005CC"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CDP, 2018. CDP Technical Note: Measuring emissions intensity of transport movements.</w:t>
      </w:r>
    </w:p>
  </w:footnote>
  <w:footnote w:id="33">
    <w:p w14:paraId="000005CD"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This is also consistent with CBI’s approach to on-land freight transport criteria. </w:t>
      </w:r>
    </w:p>
  </w:footnote>
  <w:footnote w:id="34">
    <w:p w14:paraId="000005CE"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Tonne-nm is a measure of useful work done and is calculated as deadweight carried </w:t>
      </w:r>
      <w:r>
        <w:rPr>
          <w:rFonts w:ascii="Calibri" w:eastAsia="Calibri" w:hAnsi="Calibri" w:cs="Calibri"/>
          <w:color w:val="000000"/>
          <w:sz w:val="15"/>
          <w:szCs w:val="15"/>
        </w:rPr>
        <w:t xml:space="preserve">X distance. </w:t>
      </w:r>
    </w:p>
  </w:footnote>
  <w:footnote w:id="35">
    <w:p w14:paraId="000005CF"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Dwt-nm: a measure of a ship’s weight carrying capacity (not including the empty weight of the ship) x distance </w:t>
      </w:r>
    </w:p>
  </w:footnote>
  <w:footnote w:id="36">
    <w:p w14:paraId="000005D0"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In the case of passenger ships (i.e., cruise and ferry), gCO2-e/GT is used. GT is the gross tonnage of the ship, a proxy for nu</w:t>
      </w:r>
      <w:r>
        <w:rPr>
          <w:rFonts w:ascii="Calibri" w:eastAsia="Calibri" w:hAnsi="Calibri" w:cs="Calibri"/>
          <w:color w:val="000000"/>
          <w:sz w:val="15"/>
          <w:szCs w:val="15"/>
        </w:rPr>
        <w:t xml:space="preserve">mber of passengers. </w:t>
      </w:r>
    </w:p>
  </w:footnote>
  <w:footnote w:id="37">
    <w:p w14:paraId="000005D1"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[ETC, Mission Possible Report] </w:t>
      </w:r>
    </w:p>
  </w:footnote>
  <w:footnote w:id="38">
    <w:p w14:paraId="000005D2"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Rehmatulla, N. and Smith, T.W.P. (2015) Barriers to energy efficient and low carbon shipping. Ocean Engineering 110:102-112 </w:t>
      </w:r>
    </w:p>
  </w:footnote>
  <w:footnote w:id="39">
    <w:p w14:paraId="000005D3"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In the case of a newbuild, the year of bond issuance may not be the same</w:t>
      </w:r>
      <w:r>
        <w:rPr>
          <w:rFonts w:ascii="Calibri" w:eastAsia="Calibri" w:hAnsi="Calibri" w:cs="Calibri"/>
          <w:color w:val="000000"/>
          <w:sz w:val="15"/>
          <w:szCs w:val="15"/>
        </w:rPr>
        <w:t xml:space="preserve"> year the ship is operating. In this case, the ship must meet the alignment criteria from the first year the ship is expected to be in operation. </w:t>
      </w:r>
    </w:p>
  </w:footnote>
  <w:footnote w:id="40">
    <w:p w14:paraId="000005D4"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vertAlign w:val="superscript"/>
        </w:rPr>
        <w:t xml:space="preserve"> </w:t>
      </w:r>
      <w:r>
        <w:rPr>
          <w:rFonts w:ascii="Calibri" w:eastAsia="Calibri" w:hAnsi="Calibri" w:cs="Calibri"/>
          <w:color w:val="000000"/>
          <w:sz w:val="15"/>
          <w:szCs w:val="15"/>
        </w:rPr>
        <w:t>The selection of these fuels is based on research conducted by UMAS/UCL into potential future fuel-technolo</w:t>
      </w:r>
      <w:r>
        <w:rPr>
          <w:rFonts w:ascii="Calibri" w:eastAsia="Calibri" w:hAnsi="Calibri" w:cs="Calibri"/>
          <w:color w:val="000000"/>
          <w:sz w:val="15"/>
          <w:szCs w:val="15"/>
        </w:rPr>
        <w:t xml:space="preserve">gy pathways: </w:t>
      </w:r>
    </w:p>
  </w:footnote>
  <w:footnote w:id="41">
    <w:p w14:paraId="000005D5"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As listed in Part A, Annex IX of the EU Renewable Energy Directive (2018/2001/EU).</w:t>
      </w:r>
    </w:p>
  </w:footnote>
  <w:footnote w:id="42">
    <w:p w14:paraId="000005D6"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For bonds where proceeds will be used for dry bulk carriers, issuers must show that (a) coal did not constitute more than 25% of dry bulk by tons carried b</w:t>
      </w:r>
      <w:r>
        <w:rPr>
          <w:rFonts w:ascii="Calibri" w:eastAsia="Calibri" w:hAnsi="Calibri" w:cs="Calibri"/>
          <w:color w:val="000000"/>
          <w:sz w:val="15"/>
          <w:szCs w:val="15"/>
        </w:rPr>
        <w:t>y the firm over the previous 3 years, based on the bills of lading, and (b) coal does not constitute more than 25% of dry bulk carried by the asset and the firm during the lifetime of the bond, reported annually and based on the bills lading.</w:t>
      </w:r>
      <w:r>
        <w:rPr>
          <w:rFonts w:ascii="Calibri" w:eastAsia="Calibri" w:hAnsi="Calibri" w:cs="Calibri"/>
          <w:color w:val="000000"/>
          <w:sz w:val="15"/>
          <w:szCs w:val="15"/>
        </w:rPr>
        <w:tab/>
      </w:r>
      <w:r>
        <w:rPr>
          <w:rFonts w:ascii="Helvetica Neue" w:eastAsia="Helvetica Neue" w:hAnsi="Helvetica Neue" w:cs="Helvetica Neue"/>
          <w:color w:val="000000"/>
          <w:sz w:val="15"/>
          <w:szCs w:val="15"/>
          <w:highlight w:val="white"/>
        </w:rPr>
        <w:t xml:space="preserve">  </w:t>
      </w:r>
    </w:p>
  </w:footnote>
  <w:footnote w:id="43">
    <w:p w14:paraId="000005D7"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In the c</w:t>
      </w:r>
      <w:r>
        <w:rPr>
          <w:rFonts w:ascii="Calibri" w:eastAsia="Calibri" w:hAnsi="Calibri" w:cs="Calibri"/>
          <w:color w:val="000000"/>
          <w:sz w:val="15"/>
          <w:szCs w:val="15"/>
        </w:rPr>
        <w:t>ase of a newbuild, the year of bond issuance may not be the same year the ship is operating. In this case, the ship must meet the alignment criteria from the first year the ship is expected to be in operation.</w:t>
      </w:r>
    </w:p>
  </w:footnote>
  <w:footnote w:id="44">
    <w:p w14:paraId="000005D8"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Refer to Annex 1. to identify the respective</w:t>
      </w:r>
      <w:r>
        <w:rPr>
          <w:rFonts w:ascii="Calibri" w:eastAsia="Calibri" w:hAnsi="Calibri" w:cs="Calibri"/>
          <w:color w:val="000000"/>
          <w:sz w:val="15"/>
          <w:szCs w:val="15"/>
        </w:rPr>
        <w:t xml:space="preserve">, initial emissions intensity for a certain size and class of ship. The threshold declines to zero by 2050. </w:t>
      </w:r>
    </w:p>
  </w:footnote>
  <w:footnote w:id="45">
    <w:p w14:paraId="000005D9"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Cost-effective, in this case, means that if the planned means to achieve compliance with carbon-equivalent intensity trajectories include some fu</w:t>
      </w:r>
      <w:r>
        <w:rPr>
          <w:rFonts w:ascii="Calibri" w:eastAsia="Calibri" w:hAnsi="Calibri" w:cs="Calibri"/>
          <w:color w:val="000000"/>
          <w:sz w:val="15"/>
          <w:szCs w:val="15"/>
        </w:rPr>
        <w:t>ture retrofit or switch in energy source, this can be achieved without significant additional costs (whether capital or operating costs) relative to foreseeable future assets, such that the asset should remain competitive. For example, a fossil fuelled shi</w:t>
      </w:r>
      <w:r>
        <w:rPr>
          <w:rFonts w:ascii="Calibri" w:eastAsia="Calibri" w:hAnsi="Calibri" w:cs="Calibri"/>
          <w:color w:val="000000"/>
          <w:sz w:val="15"/>
          <w:szCs w:val="15"/>
        </w:rPr>
        <w:t>p built in 2025 may plan to undertake a refit after 5 years of operation at which additional fuel tanks (for non-fossil fuel) are installed and an engine conversion undertaken. Efforts taken at design/build can ensure that space for the tanks and access to</w:t>
      </w:r>
      <w:r>
        <w:rPr>
          <w:rFonts w:ascii="Calibri" w:eastAsia="Calibri" w:hAnsi="Calibri" w:cs="Calibri"/>
          <w:color w:val="000000"/>
          <w:sz w:val="15"/>
          <w:szCs w:val="15"/>
        </w:rPr>
        <w:t xml:space="preserve"> machinery can minimise the cost of that refit, such that the ship can be competitive against newbuild ships entering the fleet in 2030 and operating on non-fossil fuel.</w:t>
      </w:r>
    </w:p>
  </w:footnote>
  <w:footnote w:id="46">
    <w:p w14:paraId="000005DA"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At present, there is no evidence that synthetic or bio LNG or synthetic or bio diese</w:t>
      </w:r>
      <w:r>
        <w:rPr>
          <w:rFonts w:ascii="Calibri" w:eastAsia="Calibri" w:hAnsi="Calibri" w:cs="Calibri"/>
          <w:color w:val="000000"/>
          <w:sz w:val="15"/>
          <w:szCs w:val="15"/>
        </w:rPr>
        <w:t>l will be available at sufficient volumes and so they are not eligible for use in a reduction plan.</w:t>
      </w:r>
    </w:p>
  </w:footnote>
  <w:footnote w:id="47">
    <w:p w14:paraId="000005DB" w14:textId="77777777" w:rsidR="001E40A1" w:rsidRDefault="007A0446">
      <w:pPr>
        <w:rPr>
          <w:rFonts w:ascii="Helvetica Neue" w:eastAsia="Helvetica Neue" w:hAnsi="Helvetica Neue" w:cs="Helvetica Neue"/>
          <w:color w:val="000000"/>
          <w:sz w:val="15"/>
          <w:szCs w:val="15"/>
        </w:rPr>
      </w:pPr>
      <w:r>
        <w:rPr>
          <w:rStyle w:val="FootnoteReference"/>
        </w:rPr>
        <w:footnoteRef/>
      </w:r>
      <w:r>
        <w:rPr>
          <w:rFonts w:ascii="Helvetica Neue" w:eastAsia="Helvetica Neue" w:hAnsi="Helvetica Neue" w:cs="Helvetica Neue"/>
          <w:color w:val="000000"/>
          <w:sz w:val="15"/>
          <w:szCs w:val="15"/>
        </w:rPr>
        <w:t>* For bonds where proceeds will be used for dry bulk carriers, issuers must show that (a) coal did not constitute more than 25% of dry bulk by tons carried by the firm over the previous 3 years, based on the bills of lading, and (b) coal does not constitut</w:t>
      </w:r>
      <w:r>
        <w:rPr>
          <w:rFonts w:ascii="Helvetica Neue" w:eastAsia="Helvetica Neue" w:hAnsi="Helvetica Neue" w:cs="Helvetica Neue"/>
          <w:color w:val="000000"/>
          <w:sz w:val="15"/>
          <w:szCs w:val="15"/>
        </w:rPr>
        <w:t>e more than 25% of dry bulk carried by the asset and the firm during the lifetime of the bond, reported annually and based on the bills lading.</w:t>
      </w:r>
      <w:r>
        <w:rPr>
          <w:rFonts w:ascii="Helvetica Neue" w:eastAsia="Helvetica Neue" w:hAnsi="Helvetica Neue" w:cs="Helvetica Neue"/>
          <w:color w:val="000000"/>
          <w:sz w:val="15"/>
          <w:szCs w:val="15"/>
        </w:rPr>
        <w:tab/>
      </w:r>
      <w:r>
        <w:rPr>
          <w:sz w:val="15"/>
          <w:szCs w:val="15"/>
          <w:highlight w:val="white"/>
        </w:rPr>
        <w:t xml:space="preserve">  </w:t>
      </w:r>
      <w:r>
        <w:rPr>
          <w:sz w:val="15"/>
          <w:szCs w:val="15"/>
        </w:rPr>
        <w:br/>
        <w:t xml:space="preserve"> </w:t>
      </w:r>
      <w:r>
        <w:rPr>
          <w:rFonts w:ascii="Helvetica Neue" w:eastAsia="Helvetica Neue" w:hAnsi="Helvetica Neue" w:cs="Helvetica Neue"/>
          <w:color w:val="000000"/>
          <w:sz w:val="15"/>
          <w:szCs w:val="15"/>
        </w:rPr>
        <w:t>In the case of a newbuild, the year of bond issuance may not be the same year the ship is operating. In this</w:t>
      </w:r>
      <w:r>
        <w:rPr>
          <w:rFonts w:ascii="Helvetica Neue" w:eastAsia="Helvetica Neue" w:hAnsi="Helvetica Neue" w:cs="Helvetica Neue"/>
          <w:color w:val="000000"/>
          <w:sz w:val="15"/>
          <w:szCs w:val="15"/>
        </w:rPr>
        <w:t xml:space="preserve"> case, the ship must meet the alignment criteria from the first year the ship is expected to be in operation.</w:t>
      </w:r>
    </w:p>
  </w:footnote>
  <w:footnote w:id="48">
    <w:p w14:paraId="000005DC" w14:textId="77777777" w:rsidR="001E40A1" w:rsidRDefault="007A0446">
      <w:pPr>
        <w:pBdr>
          <w:top w:val="nil"/>
          <w:left w:val="nil"/>
          <w:bottom w:val="nil"/>
          <w:right w:val="nil"/>
          <w:between w:val="nil"/>
        </w:pBdr>
        <w:rPr>
          <w:rFonts w:ascii="Helvetica Neue" w:eastAsia="Helvetica Neue" w:hAnsi="Helvetica Neue" w:cs="Helvetica Neue"/>
          <w:color w:val="000000"/>
          <w:sz w:val="15"/>
          <w:szCs w:val="15"/>
        </w:rPr>
      </w:pPr>
      <w:r>
        <w:rPr>
          <w:rStyle w:val="FootnoteReference"/>
        </w:rPr>
        <w:footnoteRef/>
      </w:r>
      <w:r>
        <w:rPr>
          <w:rFonts w:ascii="Helvetica Neue" w:eastAsia="Helvetica Neue" w:hAnsi="Helvetica Neue" w:cs="Helvetica Neue"/>
          <w:color w:val="000000"/>
          <w:sz w:val="15"/>
          <w:szCs w:val="15"/>
        </w:rPr>
        <w:t xml:space="preserve"> Refer to Annex 1. to identify the respective, initial emissions intensity for a certain size and class of ship. The threshold declines to zero b</w:t>
      </w:r>
      <w:r>
        <w:rPr>
          <w:rFonts w:ascii="Helvetica Neue" w:eastAsia="Helvetica Neue" w:hAnsi="Helvetica Neue" w:cs="Helvetica Neue"/>
          <w:color w:val="000000"/>
          <w:sz w:val="15"/>
          <w:szCs w:val="15"/>
        </w:rPr>
        <w:t xml:space="preserve">y 2050. </w:t>
      </w:r>
    </w:p>
  </w:footnote>
  <w:footnote w:id="49">
    <w:p w14:paraId="000005DD" w14:textId="77777777" w:rsidR="001E40A1" w:rsidRDefault="007A0446">
      <w:pPr>
        <w:pBdr>
          <w:top w:val="nil"/>
          <w:left w:val="nil"/>
          <w:bottom w:val="nil"/>
          <w:right w:val="nil"/>
          <w:between w:val="nil"/>
        </w:pBdr>
        <w:rPr>
          <w:rFonts w:ascii="Calibri" w:eastAsia="Calibri" w:hAnsi="Calibri" w:cs="Calibri"/>
          <w:color w:val="000000"/>
          <w:sz w:val="15"/>
          <w:szCs w:val="15"/>
        </w:rPr>
      </w:pPr>
      <w:r>
        <w:rPr>
          <w:rStyle w:val="FootnoteReference"/>
        </w:rPr>
        <w:footnoteRef/>
      </w:r>
      <w:r>
        <w:rPr>
          <w:rFonts w:ascii="Calibri" w:eastAsia="Calibri" w:hAnsi="Calibri" w:cs="Calibri"/>
          <w:color w:val="000000"/>
          <w:sz w:val="15"/>
          <w:szCs w:val="15"/>
        </w:rPr>
        <w:t xml:space="preserve"> [Placeholder for GLEC Framework ref]</w:t>
      </w:r>
    </w:p>
  </w:footnote>
  <w:footnote w:id="50">
    <w:p w14:paraId="000005DE" w14:textId="77777777" w:rsidR="001E40A1" w:rsidRDefault="007A0446">
      <w:pPr>
        <w:rPr>
          <w:rFonts w:ascii="Calibri" w:eastAsia="Calibri" w:hAnsi="Calibri" w:cs="Calibri"/>
          <w:sz w:val="15"/>
          <w:szCs w:val="15"/>
        </w:rPr>
      </w:pPr>
      <w:r>
        <w:rPr>
          <w:rStyle w:val="FootnoteReference"/>
        </w:rPr>
        <w:footnoteRef/>
      </w:r>
      <w:r>
        <w:rPr>
          <w:rFonts w:ascii="Calibri" w:eastAsia="Calibri" w:hAnsi="Calibri" w:cs="Calibri"/>
          <w:sz w:val="15"/>
          <w:szCs w:val="15"/>
        </w:rPr>
        <w:t xml:space="preserve"> </w:t>
      </w:r>
      <w:r>
        <w:rPr>
          <w:rFonts w:ascii="Calibri" w:eastAsia="Calibri" w:hAnsi="Calibri" w:cs="Calibri"/>
          <w:color w:val="343536"/>
          <w:sz w:val="15"/>
          <w:szCs w:val="15"/>
        </w:rPr>
        <w:t>Smith, TWP, Jalkanen, JP, Anderson, BA, Corbett, JJ, Faber, J, Hanayama, S, O’Keeffe, E, Parker, S, Johansson, L, Aldous, L, Raucci, C, Traut, M, Ettinger, S, Nelissen, D, Lee, DS, Ng, S, Agrawal, A, Winebr</w:t>
      </w:r>
      <w:r>
        <w:rPr>
          <w:rFonts w:ascii="Calibri" w:eastAsia="Calibri" w:hAnsi="Calibri" w:cs="Calibri"/>
          <w:color w:val="343536"/>
          <w:sz w:val="15"/>
          <w:szCs w:val="15"/>
        </w:rPr>
        <w:t>ake, JJ, Hoen, M, Chesworth, S &amp; Pandey, A. 2015, </w:t>
      </w:r>
      <w:hyperlink r:id="rId8">
        <w:r>
          <w:rPr>
            <w:rFonts w:ascii="Calibri" w:eastAsia="Calibri" w:hAnsi="Calibri" w:cs="Calibri"/>
            <w:color w:val="6B2C91"/>
            <w:sz w:val="15"/>
            <w:szCs w:val="15"/>
          </w:rPr>
          <w:t>Third IMO Greenhouse Gas Study 2014</w:t>
        </w:r>
      </w:hyperlink>
      <w:r>
        <w:rPr>
          <w:rFonts w:ascii="Calibri" w:eastAsia="Calibri" w:hAnsi="Calibri" w:cs="Calibri"/>
          <w:color w:val="343536"/>
          <w:sz w:val="15"/>
          <w:szCs w:val="15"/>
        </w:rPr>
        <w:t>. International Maritime Organization, London, UK.</w:t>
      </w:r>
    </w:p>
    <w:p w14:paraId="000005DF" w14:textId="77777777" w:rsidR="001E40A1" w:rsidRDefault="001E40A1">
      <w:pPr>
        <w:tabs>
          <w:tab w:val="left" w:pos="1539"/>
          <w:tab w:val="left" w:pos="1540"/>
        </w:tabs>
        <w:spacing w:before="31"/>
        <w:ind w:right="817"/>
        <w:rPr>
          <w:rFonts w:ascii="Calibri" w:eastAsia="Calibri" w:hAnsi="Calibri" w:cs="Calibri"/>
          <w:color w:val="042D40"/>
          <w:sz w:val="15"/>
          <w:szCs w:val="15"/>
        </w:rPr>
      </w:pPr>
    </w:p>
    <w:p w14:paraId="000005E0" w14:textId="77777777" w:rsidR="001E40A1" w:rsidRDefault="001E40A1">
      <w:pPr>
        <w:pBdr>
          <w:top w:val="nil"/>
          <w:left w:val="nil"/>
          <w:bottom w:val="nil"/>
          <w:right w:val="nil"/>
          <w:between w:val="nil"/>
        </w:pBdr>
        <w:rPr>
          <w:rFonts w:ascii="Calibri" w:eastAsia="Calibri" w:hAnsi="Calibri" w:cs="Calibri"/>
          <w:color w:val="000000"/>
          <w:sz w:val="15"/>
          <w:szCs w:val="1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949"/>
    <w:multiLevelType w:val="multilevel"/>
    <w:tmpl w:val="8D92B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E0475"/>
    <w:multiLevelType w:val="multilevel"/>
    <w:tmpl w:val="3FA887FE"/>
    <w:lvl w:ilvl="0">
      <w:start w:val="1"/>
      <w:numFmt w:val="bullet"/>
      <w:lvlText w:val="•"/>
      <w:lvlJc w:val="left"/>
      <w:pPr>
        <w:ind w:left="360" w:hanging="360"/>
      </w:pPr>
      <w:rPr>
        <w:rFonts w:ascii="Ciutadella Regular" w:eastAsia="Ciutadella Regular" w:hAnsi="Ciutadella Regular" w:cs="Ciutadella Regular"/>
        <w:color w:val="042D40"/>
        <w:sz w:val="24"/>
        <w:szCs w:val="24"/>
      </w:rPr>
    </w:lvl>
    <w:lvl w:ilvl="1">
      <w:start w:val="1"/>
      <w:numFmt w:val="bullet"/>
      <w:lvlText w:val="•"/>
      <w:lvlJc w:val="left"/>
      <w:pPr>
        <w:ind w:left="1308" w:hanging="359"/>
      </w:pPr>
    </w:lvl>
    <w:lvl w:ilvl="2">
      <w:start w:val="1"/>
      <w:numFmt w:val="bullet"/>
      <w:lvlText w:val="•"/>
      <w:lvlJc w:val="left"/>
      <w:pPr>
        <w:ind w:left="2257" w:hanging="360"/>
      </w:pPr>
    </w:lvl>
    <w:lvl w:ilvl="3">
      <w:start w:val="1"/>
      <w:numFmt w:val="bullet"/>
      <w:lvlText w:val="•"/>
      <w:lvlJc w:val="left"/>
      <w:pPr>
        <w:ind w:left="3205" w:hanging="360"/>
      </w:pPr>
    </w:lvl>
    <w:lvl w:ilvl="4">
      <w:start w:val="1"/>
      <w:numFmt w:val="bullet"/>
      <w:lvlText w:val="•"/>
      <w:lvlJc w:val="left"/>
      <w:pPr>
        <w:ind w:left="4154" w:hanging="360"/>
      </w:pPr>
    </w:lvl>
    <w:lvl w:ilvl="5">
      <w:start w:val="1"/>
      <w:numFmt w:val="bullet"/>
      <w:lvlText w:val="•"/>
      <w:lvlJc w:val="left"/>
      <w:pPr>
        <w:ind w:left="5102" w:hanging="360"/>
      </w:pPr>
    </w:lvl>
    <w:lvl w:ilvl="6">
      <w:start w:val="1"/>
      <w:numFmt w:val="bullet"/>
      <w:lvlText w:val="•"/>
      <w:lvlJc w:val="left"/>
      <w:pPr>
        <w:ind w:left="6051" w:hanging="360"/>
      </w:pPr>
    </w:lvl>
    <w:lvl w:ilvl="7">
      <w:start w:val="1"/>
      <w:numFmt w:val="bullet"/>
      <w:lvlText w:val="•"/>
      <w:lvlJc w:val="left"/>
      <w:pPr>
        <w:ind w:left="6999" w:hanging="360"/>
      </w:pPr>
    </w:lvl>
    <w:lvl w:ilvl="8">
      <w:start w:val="1"/>
      <w:numFmt w:val="bullet"/>
      <w:lvlText w:val="•"/>
      <w:lvlJc w:val="left"/>
      <w:pPr>
        <w:ind w:left="7948" w:hanging="360"/>
      </w:pPr>
    </w:lvl>
  </w:abstractNum>
  <w:abstractNum w:abstractNumId="2" w15:restartNumberingAfterBreak="0">
    <w:nsid w:val="0DC44859"/>
    <w:multiLevelType w:val="multilevel"/>
    <w:tmpl w:val="9BA0D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E007CE"/>
    <w:multiLevelType w:val="multilevel"/>
    <w:tmpl w:val="491C2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055AA"/>
    <w:multiLevelType w:val="multilevel"/>
    <w:tmpl w:val="4F4C8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21BCB"/>
    <w:multiLevelType w:val="multilevel"/>
    <w:tmpl w:val="CAAA8AD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2D52555D"/>
    <w:multiLevelType w:val="multilevel"/>
    <w:tmpl w:val="311AF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A931D6"/>
    <w:multiLevelType w:val="multilevel"/>
    <w:tmpl w:val="4EA2111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3378428D"/>
    <w:multiLevelType w:val="multilevel"/>
    <w:tmpl w:val="9D94A11C"/>
    <w:lvl w:ilvl="0">
      <w:start w:val="1"/>
      <w:numFmt w:val="decimal"/>
      <w:pStyle w:val="Questionnumbers"/>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39116FEF"/>
    <w:multiLevelType w:val="multilevel"/>
    <w:tmpl w:val="FFC86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C65AF1"/>
    <w:multiLevelType w:val="multilevel"/>
    <w:tmpl w:val="39FCD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1E290A"/>
    <w:multiLevelType w:val="multilevel"/>
    <w:tmpl w:val="470C2F28"/>
    <w:lvl w:ilvl="0">
      <w:start w:val="1"/>
      <w:numFmt w:val="bullet"/>
      <w:pStyle w:val="Bullets"/>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2" w15:restartNumberingAfterBreak="0">
    <w:nsid w:val="4938257F"/>
    <w:multiLevelType w:val="multilevel"/>
    <w:tmpl w:val="4ECC7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CB3CD8"/>
    <w:multiLevelType w:val="multilevel"/>
    <w:tmpl w:val="BC128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C65E76"/>
    <w:multiLevelType w:val="multilevel"/>
    <w:tmpl w:val="5268E9CE"/>
    <w:lvl w:ilvl="0">
      <w:start w:val="16"/>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246726"/>
    <w:multiLevelType w:val="multilevel"/>
    <w:tmpl w:val="F800C0CC"/>
    <w:lvl w:ilvl="0">
      <w:start w:val="5"/>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9B0C9B"/>
    <w:multiLevelType w:val="multilevel"/>
    <w:tmpl w:val="A8B25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F4402C5"/>
    <w:multiLevelType w:val="multilevel"/>
    <w:tmpl w:val="D05C1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15E1073"/>
    <w:multiLevelType w:val="multilevel"/>
    <w:tmpl w:val="A1189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936D8A"/>
    <w:multiLevelType w:val="multilevel"/>
    <w:tmpl w:val="1BE47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D65DAF"/>
    <w:multiLevelType w:val="multilevel"/>
    <w:tmpl w:val="BE204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D347BD"/>
    <w:multiLevelType w:val="multilevel"/>
    <w:tmpl w:val="A18CF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4874F4"/>
    <w:multiLevelType w:val="multilevel"/>
    <w:tmpl w:val="3126043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8"/>
  </w:num>
  <w:num w:numId="3">
    <w:abstractNumId w:val="7"/>
  </w:num>
  <w:num w:numId="4">
    <w:abstractNumId w:val="5"/>
  </w:num>
  <w:num w:numId="5">
    <w:abstractNumId w:val="9"/>
  </w:num>
  <w:num w:numId="6">
    <w:abstractNumId w:val="3"/>
  </w:num>
  <w:num w:numId="7">
    <w:abstractNumId w:val="13"/>
  </w:num>
  <w:num w:numId="8">
    <w:abstractNumId w:val="15"/>
  </w:num>
  <w:num w:numId="9">
    <w:abstractNumId w:val="19"/>
  </w:num>
  <w:num w:numId="10">
    <w:abstractNumId w:val="12"/>
  </w:num>
  <w:num w:numId="11">
    <w:abstractNumId w:val="14"/>
  </w:num>
  <w:num w:numId="12">
    <w:abstractNumId w:val="4"/>
  </w:num>
  <w:num w:numId="13">
    <w:abstractNumId w:val="20"/>
  </w:num>
  <w:num w:numId="14">
    <w:abstractNumId w:val="18"/>
  </w:num>
  <w:num w:numId="15">
    <w:abstractNumId w:val="2"/>
  </w:num>
  <w:num w:numId="16">
    <w:abstractNumId w:val="10"/>
  </w:num>
  <w:num w:numId="17">
    <w:abstractNumId w:val="22"/>
  </w:num>
  <w:num w:numId="18">
    <w:abstractNumId w:val="17"/>
  </w:num>
  <w:num w:numId="19">
    <w:abstractNumId w:val="21"/>
  </w:num>
  <w:num w:numId="20">
    <w:abstractNumId w:val="0"/>
  </w:num>
  <w:num w:numId="21">
    <w:abstractNumId w:val="1"/>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A1"/>
    <w:rsid w:val="000F6EDC"/>
    <w:rsid w:val="0011183B"/>
    <w:rsid w:val="001E40A1"/>
    <w:rsid w:val="007A0446"/>
    <w:rsid w:val="00E454FB"/>
    <w:rsid w:val="00EF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F82F8"/>
  <w15:docId w15:val="{6C81D322-DB36-ED40-A4E7-61A89B7A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80C"/>
    <w:rPr>
      <w:rFonts w:ascii="Gill Sans Light" w:eastAsiaTheme="majorEastAsia" w:hAnsi="Gill Sans Light" w:cs="Gill Sans Light"/>
      <w:lang w:eastAsia="x-none"/>
    </w:rPr>
  </w:style>
  <w:style w:type="paragraph" w:styleId="Heading1">
    <w:name w:val="heading 1"/>
    <w:basedOn w:val="Normal"/>
    <w:next w:val="Normal"/>
    <w:link w:val="Heading1Char"/>
    <w:uiPriority w:val="9"/>
    <w:qFormat/>
    <w:rsid w:val="00EE3AEB"/>
    <w:pPr>
      <w:keepNext/>
      <w:keepLines/>
      <w:spacing w:before="240"/>
      <w:outlineLvl w:val="0"/>
    </w:pPr>
    <w:rPr>
      <w:rFonts w:asciiTheme="majorHAnsi"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3AEB"/>
    <w:pPr>
      <w:keepNext/>
      <w:keepLines/>
      <w:spacing w:before="40"/>
      <w:outlineLvl w:val="1"/>
    </w:pPr>
    <w:rPr>
      <w:rFonts w:asciiTheme="majorHAnsi"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3AEB"/>
    <w:pPr>
      <w:keepNext/>
      <w:keepLines/>
      <w:spacing w:before="40"/>
      <w:outlineLvl w:val="2"/>
    </w:pPr>
    <w:rPr>
      <w:rFonts w:asciiTheme="majorHAnsi" w:hAnsiTheme="majorHAnsi" w:cstheme="majorBidi"/>
      <w:color w:val="1F3763" w:themeColor="accent1" w:themeShade="7F"/>
    </w:rPr>
  </w:style>
  <w:style w:type="paragraph" w:styleId="Heading4">
    <w:name w:val="heading 4"/>
    <w:aliases w:val="Not numbered Heading 1"/>
    <w:basedOn w:val="Heading1"/>
    <w:next w:val="Normal"/>
    <w:link w:val="Heading4Char"/>
    <w:uiPriority w:val="9"/>
    <w:semiHidden/>
    <w:unhideWhenUsed/>
    <w:qFormat/>
    <w:rsid w:val="00EE3AEB"/>
    <w:pPr>
      <w:pBdr>
        <w:top w:val="nil"/>
        <w:left w:val="nil"/>
        <w:bottom w:val="nil"/>
        <w:right w:val="nil"/>
        <w:between w:val="nil"/>
        <w:bar w:val="nil"/>
      </w:pBdr>
      <w:spacing w:before="480"/>
      <w:ind w:left="864" w:hanging="864"/>
      <w:outlineLvl w:val="3"/>
    </w:pPr>
    <w:rPr>
      <w:rFonts w:ascii="Gill Sans" w:eastAsia="Helvetica" w:hAnsi="Gill Sans" w:cs="Gill Sans"/>
      <w:color w:val="2C6F95"/>
      <w:lang w:val="x-none"/>
    </w:rPr>
  </w:style>
  <w:style w:type="paragraph" w:styleId="Heading5">
    <w:name w:val="heading 5"/>
    <w:basedOn w:val="Normal"/>
    <w:next w:val="Normal"/>
    <w:link w:val="Heading5Char"/>
    <w:uiPriority w:val="9"/>
    <w:semiHidden/>
    <w:unhideWhenUsed/>
    <w:qFormat/>
    <w:rsid w:val="00EE3AEB"/>
    <w:pPr>
      <w:pBdr>
        <w:top w:val="nil"/>
        <w:left w:val="nil"/>
        <w:bottom w:val="nil"/>
        <w:right w:val="nil"/>
        <w:between w:val="nil"/>
        <w:bar w:val="nil"/>
      </w:pBdr>
      <w:spacing w:before="240" w:after="60"/>
      <w:ind w:left="1008" w:hanging="1008"/>
      <w:outlineLvl w:val="4"/>
    </w:pPr>
    <w:rPr>
      <w:rFonts w:ascii="Cambria" w:hAnsi="Cambria" w:cs="Arial Unicode MS"/>
      <w:b/>
      <w:bCs/>
      <w:i/>
      <w:iCs/>
      <w:color w:val="000000"/>
      <w:sz w:val="26"/>
      <w:szCs w:val="26"/>
      <w:bdr w:val="nil"/>
      <w:lang w:val="x-none"/>
    </w:rPr>
  </w:style>
  <w:style w:type="paragraph" w:styleId="Heading6">
    <w:name w:val="heading 6"/>
    <w:basedOn w:val="Normal"/>
    <w:next w:val="Normal"/>
    <w:link w:val="Heading6Char"/>
    <w:uiPriority w:val="9"/>
    <w:semiHidden/>
    <w:unhideWhenUsed/>
    <w:qFormat/>
    <w:rsid w:val="00EE3AEB"/>
    <w:pPr>
      <w:pBdr>
        <w:top w:val="nil"/>
        <w:left w:val="nil"/>
        <w:bottom w:val="nil"/>
        <w:right w:val="nil"/>
        <w:between w:val="nil"/>
        <w:bar w:val="nil"/>
      </w:pBdr>
      <w:spacing w:before="240" w:after="60"/>
      <w:ind w:left="1152" w:hanging="1152"/>
      <w:outlineLvl w:val="5"/>
    </w:pPr>
    <w:rPr>
      <w:rFonts w:ascii="Cambria" w:hAnsi="Cambria" w:cs="Arial Unicode MS"/>
      <w:b/>
      <w:bCs/>
      <w:color w:val="000000"/>
      <w:sz w:val="22"/>
      <w:szCs w:val="22"/>
      <w:bdr w:val="nil"/>
      <w:lang w:val="x-none"/>
    </w:rPr>
  </w:style>
  <w:style w:type="paragraph" w:styleId="Heading7">
    <w:name w:val="heading 7"/>
    <w:basedOn w:val="Normal"/>
    <w:next w:val="Normal"/>
    <w:link w:val="Heading7Char"/>
    <w:rsid w:val="00EE3AEB"/>
    <w:pPr>
      <w:pBdr>
        <w:top w:val="nil"/>
        <w:left w:val="nil"/>
        <w:bottom w:val="nil"/>
        <w:right w:val="nil"/>
        <w:between w:val="nil"/>
        <w:bar w:val="nil"/>
      </w:pBdr>
      <w:spacing w:before="240" w:after="60"/>
      <w:ind w:left="1296" w:hanging="1296"/>
      <w:outlineLvl w:val="6"/>
    </w:pPr>
    <w:rPr>
      <w:rFonts w:ascii="Cambria" w:hAnsi="Cambria" w:cs="Arial Unicode MS"/>
      <w:color w:val="000000"/>
      <w:szCs w:val="22"/>
      <w:bdr w:val="nil"/>
      <w:lang w:val="x-none"/>
    </w:rPr>
  </w:style>
  <w:style w:type="paragraph" w:styleId="Heading8">
    <w:name w:val="heading 8"/>
    <w:basedOn w:val="Normal"/>
    <w:next w:val="Normal"/>
    <w:link w:val="Heading8Char"/>
    <w:rsid w:val="00EE3AEB"/>
    <w:pPr>
      <w:pBdr>
        <w:top w:val="nil"/>
        <w:left w:val="nil"/>
        <w:bottom w:val="nil"/>
        <w:right w:val="nil"/>
        <w:between w:val="nil"/>
        <w:bar w:val="nil"/>
      </w:pBdr>
      <w:spacing w:before="240" w:after="60"/>
      <w:ind w:left="1440" w:hanging="1440"/>
      <w:outlineLvl w:val="7"/>
    </w:pPr>
    <w:rPr>
      <w:rFonts w:ascii="Cambria" w:hAnsi="Cambria" w:cs="Arial Unicode MS"/>
      <w:i/>
      <w:iCs/>
      <w:color w:val="000000"/>
      <w:szCs w:val="22"/>
      <w:bdr w:val="nil"/>
      <w:lang w:val="x-none"/>
    </w:rPr>
  </w:style>
  <w:style w:type="paragraph" w:styleId="Heading9">
    <w:name w:val="heading 9"/>
    <w:basedOn w:val="Normal"/>
    <w:next w:val="Normal"/>
    <w:link w:val="Heading9Char"/>
    <w:rsid w:val="00EE3AEB"/>
    <w:pPr>
      <w:pBdr>
        <w:top w:val="nil"/>
        <w:left w:val="nil"/>
        <w:bottom w:val="nil"/>
        <w:right w:val="nil"/>
        <w:between w:val="nil"/>
        <w:bar w:val="nil"/>
      </w:pBdr>
      <w:spacing w:before="240" w:after="60"/>
      <w:ind w:left="1584" w:hanging="1584"/>
      <w:outlineLvl w:val="8"/>
    </w:pPr>
    <w:rPr>
      <w:rFonts w:ascii="Calibri" w:hAnsi="Calibri" w:cs="Arial Unicode MS"/>
      <w:color w:val="000000"/>
      <w:sz w:val="22"/>
      <w:szCs w:val="22"/>
      <w:bdr w:val="ni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AEB"/>
    <w:pPr>
      <w:pBdr>
        <w:top w:val="nil"/>
        <w:left w:val="nil"/>
        <w:bottom w:val="nil"/>
        <w:right w:val="nil"/>
        <w:between w:val="nil"/>
        <w:bar w:val="nil"/>
      </w:pBdr>
    </w:pPr>
    <w:rPr>
      <w:rFonts w:ascii="Gill Sans" w:eastAsia="Arial Unicode MS" w:hAnsi="Gill Sans" w:cs="Gill Sans"/>
      <w:color w:val="1F497D"/>
      <w:spacing w:val="20"/>
      <w:sz w:val="40"/>
      <w:szCs w:val="22"/>
      <w:bdr w:val="nil"/>
      <w:lang w:eastAsia="en-GB"/>
    </w:rPr>
  </w:style>
  <w:style w:type="paragraph" w:customStyle="1" w:styleId="Body">
    <w:name w:val="Body"/>
    <w:rsid w:val="00EE3AEB"/>
    <w:pPr>
      <w:pBdr>
        <w:top w:val="nil"/>
        <w:left w:val="nil"/>
        <w:bottom w:val="nil"/>
        <w:right w:val="nil"/>
        <w:between w:val="nil"/>
        <w:bar w:val="nil"/>
      </w:pBdr>
    </w:pPr>
    <w:rPr>
      <w:rFonts w:ascii="Gill Sans Light" w:eastAsia="Arial Unicode MS" w:hAnsi="Gill Sans Light" w:cs="Arial Unicode MS"/>
      <w:color w:val="000000"/>
      <w:sz w:val="22"/>
      <w:szCs w:val="22"/>
      <w:bdr w:val="nil"/>
      <w:lang w:val="en-US"/>
    </w:rPr>
  </w:style>
  <w:style w:type="paragraph" w:customStyle="1" w:styleId="Question">
    <w:name w:val="Question"/>
    <w:basedOn w:val="Normal"/>
    <w:rsid w:val="00EE3AEB"/>
    <w:pPr>
      <w:pBdr>
        <w:top w:val="single" w:sz="4" w:space="2" w:color="auto"/>
        <w:left w:val="single" w:sz="4" w:space="2" w:color="auto"/>
        <w:bottom w:val="single" w:sz="4" w:space="2" w:color="auto"/>
        <w:right w:val="single" w:sz="4" w:space="2" w:color="auto"/>
      </w:pBdr>
      <w:shd w:val="clear" w:color="auto" w:fill="F1FCFF"/>
      <w:contextualSpacing/>
    </w:pPr>
    <w:rPr>
      <w:rFonts w:eastAsia="Arial Unicode MS" w:cs="Arial Unicode MS"/>
      <w:i/>
      <w:color w:val="2F759E"/>
      <w:sz w:val="22"/>
      <w:szCs w:val="22"/>
      <w:bdr w:val="nil"/>
      <w:lang w:eastAsia="en-GB"/>
    </w:rPr>
  </w:style>
  <w:style w:type="paragraph" w:styleId="Header">
    <w:name w:val="header"/>
    <w:basedOn w:val="Normal"/>
    <w:link w:val="HeaderChar"/>
    <w:uiPriority w:val="99"/>
    <w:rsid w:val="00EE3AEB"/>
    <w:pPr>
      <w:tabs>
        <w:tab w:val="center" w:pos="4513"/>
        <w:tab w:val="right" w:pos="9026"/>
      </w:tabs>
    </w:pPr>
    <w:rPr>
      <w:rFonts w:ascii="Calibri" w:eastAsia="Calibri" w:hAnsi="Calibri" w:cs="Arial Unicode MS"/>
      <w:color w:val="000000"/>
      <w:sz w:val="22"/>
      <w:szCs w:val="22"/>
      <w:lang w:val="en-AU"/>
    </w:rPr>
  </w:style>
  <w:style w:type="character" w:customStyle="1" w:styleId="HeaderChar">
    <w:name w:val="Header Char"/>
    <w:basedOn w:val="DefaultParagraphFont"/>
    <w:link w:val="Header"/>
    <w:uiPriority w:val="99"/>
    <w:rsid w:val="00EE3AEB"/>
    <w:rPr>
      <w:rFonts w:ascii="Calibri" w:eastAsia="Calibri" w:hAnsi="Calibri" w:cs="Arial Unicode MS"/>
      <w:color w:val="000000"/>
      <w:sz w:val="22"/>
      <w:szCs w:val="22"/>
      <w:lang w:val="en-AU" w:eastAsia="x-none"/>
    </w:rPr>
  </w:style>
  <w:style w:type="paragraph" w:styleId="Footer">
    <w:name w:val="footer"/>
    <w:basedOn w:val="Normal"/>
    <w:link w:val="FooterChar"/>
    <w:rsid w:val="00EE3AEB"/>
    <w:pPr>
      <w:pBdr>
        <w:top w:val="nil"/>
        <w:left w:val="nil"/>
        <w:bottom w:val="nil"/>
        <w:right w:val="nil"/>
        <w:between w:val="nil"/>
        <w:bar w:val="nil"/>
      </w:pBdr>
      <w:tabs>
        <w:tab w:val="center" w:pos="4320"/>
        <w:tab w:val="right" w:pos="8640"/>
      </w:tabs>
    </w:pPr>
    <w:rPr>
      <w:rFonts w:eastAsia="Arial Unicode MS" w:cs="Arial Unicode MS"/>
      <w:color w:val="000000"/>
      <w:szCs w:val="22"/>
      <w:bdr w:val="nil"/>
    </w:rPr>
  </w:style>
  <w:style w:type="character" w:customStyle="1" w:styleId="FooterChar">
    <w:name w:val="Footer Char"/>
    <w:basedOn w:val="DefaultParagraphFont"/>
    <w:link w:val="Footer"/>
    <w:rsid w:val="00EE3AEB"/>
    <w:rPr>
      <w:rFonts w:ascii="Times New Roman" w:eastAsia="Arial Unicode MS" w:hAnsi="Times New Roman" w:cs="Arial Unicode MS"/>
      <w:color w:val="000000"/>
      <w:szCs w:val="22"/>
      <w:bdr w:val="nil"/>
      <w:lang w:eastAsia="x-none"/>
    </w:rPr>
  </w:style>
  <w:style w:type="character" w:styleId="PageNumber">
    <w:name w:val="page number"/>
    <w:rsid w:val="00EE3AEB"/>
  </w:style>
  <w:style w:type="character" w:customStyle="1" w:styleId="TitleChar">
    <w:name w:val="Title Char"/>
    <w:basedOn w:val="DefaultParagraphFont"/>
    <w:link w:val="Title"/>
    <w:rsid w:val="00EE3AEB"/>
    <w:rPr>
      <w:rFonts w:ascii="Gill Sans" w:eastAsia="Arial Unicode MS" w:hAnsi="Gill Sans" w:cs="Gill Sans"/>
      <w:color w:val="1F497D"/>
      <w:spacing w:val="20"/>
      <w:sz w:val="40"/>
      <w:szCs w:val="22"/>
      <w:bdr w:val="nil"/>
      <w:lang w:eastAsia="en-GB"/>
    </w:rPr>
  </w:style>
  <w:style w:type="paragraph" w:styleId="Subtitle">
    <w:name w:val="Subtitle"/>
    <w:basedOn w:val="Normal"/>
    <w:next w:val="Normal"/>
    <w:link w:val="SubtitleChar"/>
    <w:uiPriority w:val="11"/>
    <w:qFormat/>
    <w:pPr>
      <w:pBdr>
        <w:top w:val="nil"/>
        <w:left w:val="nil"/>
        <w:bottom w:val="nil"/>
        <w:right w:val="nil"/>
        <w:between w:val="nil"/>
      </w:pBdr>
    </w:pPr>
    <w:rPr>
      <w:rFonts w:ascii="Gill Sans" w:eastAsia="Gill Sans" w:hAnsi="Gill Sans" w:cs="Gill Sans"/>
      <w:color w:val="1F497D"/>
      <w:sz w:val="32"/>
      <w:szCs w:val="32"/>
    </w:rPr>
  </w:style>
  <w:style w:type="character" w:customStyle="1" w:styleId="SubtitleChar">
    <w:name w:val="Subtitle Char"/>
    <w:basedOn w:val="DefaultParagraphFont"/>
    <w:link w:val="Subtitle"/>
    <w:rsid w:val="00EE3AEB"/>
    <w:rPr>
      <w:rFonts w:ascii="Gill Sans" w:eastAsia="Arial Unicode MS" w:hAnsi="Gill Sans" w:cs="Gill Sans"/>
      <w:color w:val="1F497D"/>
      <w:spacing w:val="20"/>
      <w:sz w:val="32"/>
      <w:szCs w:val="22"/>
      <w:bdr w:val="nil"/>
      <w:lang w:eastAsia="en-GB"/>
    </w:rPr>
  </w:style>
  <w:style w:type="character" w:styleId="SubtleEmphasis">
    <w:name w:val="Subtle Emphasis"/>
    <w:aliases w:val="Subtitle Light"/>
    <w:rsid w:val="00EE3AEB"/>
    <w:rPr>
      <w:rFonts w:ascii="Gill Sans Light" w:hAnsi="Gill Sans Light" w:cs="Gill Sans Light"/>
      <w:color w:val="1F497D"/>
      <w:spacing w:val="20"/>
      <w:sz w:val="32"/>
    </w:rPr>
  </w:style>
  <w:style w:type="paragraph" w:customStyle="1" w:styleId="Non-numberedHeading1">
    <w:name w:val="Non-numbered Heading 1"/>
    <w:basedOn w:val="Heading1"/>
    <w:rsid w:val="00EE3AEB"/>
    <w:pPr>
      <w:pBdr>
        <w:top w:val="nil"/>
        <w:left w:val="nil"/>
        <w:bottom w:val="nil"/>
        <w:right w:val="nil"/>
        <w:between w:val="nil"/>
        <w:bar w:val="nil"/>
      </w:pBdr>
      <w:spacing w:before="480"/>
    </w:pPr>
    <w:rPr>
      <w:rFonts w:ascii="Gill Sans" w:eastAsia="Helvetica" w:hAnsi="Gill Sans" w:cs="Gill Sans"/>
      <w:color w:val="2C6F95"/>
      <w:lang w:val="x-none"/>
    </w:rPr>
  </w:style>
  <w:style w:type="paragraph" w:customStyle="1" w:styleId="Normal1">
    <w:name w:val="Normal 1"/>
    <w:basedOn w:val="Normal"/>
    <w:qFormat/>
    <w:rsid w:val="00EE3AEB"/>
    <w:rPr>
      <w:rFonts w:ascii="Gill Sans" w:eastAsia="Arial Unicode MS" w:hAnsi="Gill Sans"/>
      <w:i/>
      <w:iCs/>
      <w:sz w:val="22"/>
      <w:lang w:eastAsia="zh-CN"/>
    </w:rPr>
  </w:style>
  <w:style w:type="character" w:customStyle="1" w:styleId="Heading1Char">
    <w:name w:val="Heading 1 Char"/>
    <w:basedOn w:val="DefaultParagraphFont"/>
    <w:link w:val="Heading1"/>
    <w:uiPriority w:val="9"/>
    <w:rsid w:val="00EE3AEB"/>
    <w:rPr>
      <w:rFonts w:asciiTheme="majorHAnsi" w:eastAsiaTheme="majorEastAsia" w:hAnsiTheme="majorHAnsi" w:cstheme="majorBidi"/>
      <w:color w:val="2F5496" w:themeColor="accent1" w:themeShade="BF"/>
      <w:sz w:val="32"/>
      <w:szCs w:val="32"/>
    </w:rPr>
  </w:style>
  <w:style w:type="character" w:customStyle="1" w:styleId="NoneA">
    <w:name w:val="None A"/>
    <w:rsid w:val="00EE3AEB"/>
    <w:rPr>
      <w:lang w:val="en-US"/>
    </w:rPr>
  </w:style>
  <w:style w:type="character" w:customStyle="1" w:styleId="Heading2Char">
    <w:name w:val="Heading 2 Char"/>
    <w:basedOn w:val="DefaultParagraphFont"/>
    <w:link w:val="Heading2"/>
    <w:rsid w:val="00EE3A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E3AEB"/>
    <w:rPr>
      <w:rFonts w:asciiTheme="majorHAnsi" w:eastAsiaTheme="majorEastAsia" w:hAnsiTheme="majorHAnsi" w:cstheme="majorBidi"/>
      <w:color w:val="1F3763" w:themeColor="accent1" w:themeShade="7F"/>
    </w:rPr>
  </w:style>
  <w:style w:type="character" w:customStyle="1" w:styleId="Heading4Char">
    <w:name w:val="Heading 4 Char"/>
    <w:aliases w:val="Not numbered Heading 1 Char"/>
    <w:basedOn w:val="DefaultParagraphFont"/>
    <w:link w:val="Heading4"/>
    <w:rsid w:val="00EE3AEB"/>
    <w:rPr>
      <w:rFonts w:ascii="Gill Sans" w:eastAsia="Helvetica" w:hAnsi="Gill Sans" w:cs="Gill Sans"/>
      <w:color w:val="2C6F95"/>
      <w:sz w:val="32"/>
      <w:szCs w:val="32"/>
      <w:lang w:val="x-none" w:eastAsia="x-none"/>
    </w:rPr>
  </w:style>
  <w:style w:type="character" w:customStyle="1" w:styleId="Heading5Char">
    <w:name w:val="Heading 5 Char"/>
    <w:basedOn w:val="DefaultParagraphFont"/>
    <w:link w:val="Heading5"/>
    <w:rsid w:val="00EE3AEB"/>
    <w:rPr>
      <w:rFonts w:ascii="Cambria" w:eastAsia="Times New Roman" w:hAnsi="Cambria" w:cs="Arial Unicode MS"/>
      <w:b/>
      <w:bCs/>
      <w:i/>
      <w:iCs/>
      <w:color w:val="000000"/>
      <w:sz w:val="26"/>
      <w:szCs w:val="26"/>
      <w:bdr w:val="nil"/>
      <w:lang w:val="x-none" w:eastAsia="x-none"/>
    </w:rPr>
  </w:style>
  <w:style w:type="character" w:customStyle="1" w:styleId="Heading6Char">
    <w:name w:val="Heading 6 Char"/>
    <w:basedOn w:val="DefaultParagraphFont"/>
    <w:link w:val="Heading6"/>
    <w:rsid w:val="00EE3AEB"/>
    <w:rPr>
      <w:rFonts w:ascii="Cambria" w:eastAsia="Times New Roman" w:hAnsi="Cambria" w:cs="Arial Unicode MS"/>
      <w:b/>
      <w:bCs/>
      <w:color w:val="000000"/>
      <w:sz w:val="22"/>
      <w:szCs w:val="22"/>
      <w:bdr w:val="nil"/>
      <w:lang w:val="x-none" w:eastAsia="x-none"/>
    </w:rPr>
  </w:style>
  <w:style w:type="character" w:customStyle="1" w:styleId="Heading7Char">
    <w:name w:val="Heading 7 Char"/>
    <w:basedOn w:val="DefaultParagraphFont"/>
    <w:link w:val="Heading7"/>
    <w:rsid w:val="00EE3AEB"/>
    <w:rPr>
      <w:rFonts w:ascii="Cambria" w:eastAsia="Times New Roman" w:hAnsi="Cambria" w:cs="Arial Unicode MS"/>
      <w:color w:val="000000"/>
      <w:szCs w:val="22"/>
      <w:bdr w:val="nil"/>
      <w:lang w:val="x-none" w:eastAsia="x-none"/>
    </w:rPr>
  </w:style>
  <w:style w:type="character" w:customStyle="1" w:styleId="Heading8Char">
    <w:name w:val="Heading 8 Char"/>
    <w:basedOn w:val="DefaultParagraphFont"/>
    <w:link w:val="Heading8"/>
    <w:rsid w:val="00EE3AEB"/>
    <w:rPr>
      <w:rFonts w:ascii="Cambria" w:eastAsia="Times New Roman" w:hAnsi="Cambria" w:cs="Arial Unicode MS"/>
      <w:i/>
      <w:iCs/>
      <w:color w:val="000000"/>
      <w:szCs w:val="22"/>
      <w:bdr w:val="nil"/>
      <w:lang w:val="x-none" w:eastAsia="x-none"/>
    </w:rPr>
  </w:style>
  <w:style w:type="character" w:customStyle="1" w:styleId="Heading9Char">
    <w:name w:val="Heading 9 Char"/>
    <w:basedOn w:val="DefaultParagraphFont"/>
    <w:link w:val="Heading9"/>
    <w:rsid w:val="00EE3AEB"/>
    <w:rPr>
      <w:rFonts w:ascii="Calibri" w:eastAsia="Times New Roman" w:hAnsi="Calibri" w:cs="Arial Unicode MS"/>
      <w:color w:val="000000"/>
      <w:sz w:val="22"/>
      <w:szCs w:val="22"/>
      <w:bdr w:val="nil"/>
      <w:lang w:val="x-none" w:eastAsia="x-none"/>
    </w:rPr>
  </w:style>
  <w:style w:type="paragraph" w:styleId="BalloonText">
    <w:name w:val="Balloon Text"/>
    <w:basedOn w:val="Normal"/>
    <w:link w:val="BalloonTextChar1"/>
    <w:uiPriority w:val="99"/>
    <w:semiHidden/>
    <w:unhideWhenUsed/>
    <w:rsid w:val="00EE3AEB"/>
    <w:pPr>
      <w:pBdr>
        <w:top w:val="nil"/>
        <w:left w:val="nil"/>
        <w:bottom w:val="nil"/>
        <w:right w:val="nil"/>
        <w:between w:val="nil"/>
        <w:bar w:val="nil"/>
      </w:pBdr>
    </w:pPr>
    <w:rPr>
      <w:rFonts w:ascii="Lucida Grande" w:eastAsia="Arial Unicode MS" w:hAnsi="Lucida Grande" w:cs="Arial Unicode MS"/>
      <w:color w:val="000000"/>
      <w:sz w:val="18"/>
      <w:szCs w:val="18"/>
      <w:lang w:val="x-none"/>
    </w:rPr>
  </w:style>
  <w:style w:type="character" w:customStyle="1" w:styleId="BalloonTextChar">
    <w:name w:val="Balloon Text Char"/>
    <w:basedOn w:val="DefaultParagraphFont"/>
    <w:uiPriority w:val="99"/>
    <w:semiHidden/>
    <w:rsid w:val="00EE3AEB"/>
    <w:rPr>
      <w:rFonts w:ascii="Times New Roman" w:eastAsia="Times New Roman" w:hAnsi="Times New Roman" w:cs="Times New Roman"/>
      <w:sz w:val="18"/>
      <w:szCs w:val="18"/>
    </w:rPr>
  </w:style>
  <w:style w:type="character" w:customStyle="1" w:styleId="BalloonTextChar7">
    <w:name w:val="Balloon Text Char7"/>
    <w:uiPriority w:val="99"/>
    <w:semiHidden/>
    <w:rsid w:val="00EE3AEB"/>
    <w:rPr>
      <w:rFonts w:ascii="Lucida Grande" w:hAnsi="Lucida Grande" w:cs="Lucida Grande"/>
      <w:sz w:val="18"/>
      <w:szCs w:val="18"/>
    </w:rPr>
  </w:style>
  <w:style w:type="character" w:customStyle="1" w:styleId="BalloonTextChar6">
    <w:name w:val="Balloon Text Char6"/>
    <w:uiPriority w:val="99"/>
    <w:semiHidden/>
    <w:rsid w:val="00EE3AEB"/>
    <w:rPr>
      <w:rFonts w:ascii="Lucida Grande" w:hAnsi="Lucida Grande"/>
      <w:sz w:val="18"/>
      <w:szCs w:val="18"/>
    </w:rPr>
  </w:style>
  <w:style w:type="character" w:customStyle="1" w:styleId="BalloonTextChar5">
    <w:name w:val="Balloon Text Char5"/>
    <w:uiPriority w:val="99"/>
    <w:semiHidden/>
    <w:rsid w:val="00EE3AEB"/>
    <w:rPr>
      <w:rFonts w:ascii="Lucida Grande" w:hAnsi="Lucida Grande" w:cs="Lucida Grande"/>
      <w:sz w:val="18"/>
      <w:szCs w:val="18"/>
    </w:rPr>
  </w:style>
  <w:style w:type="character" w:customStyle="1" w:styleId="BalloonTextChar4">
    <w:name w:val="Balloon Text Char4"/>
    <w:uiPriority w:val="99"/>
    <w:semiHidden/>
    <w:rsid w:val="00EE3AEB"/>
    <w:rPr>
      <w:rFonts w:ascii="Lucida Grande" w:hAnsi="Lucida Grande" w:cs="Lucida Grande"/>
      <w:sz w:val="18"/>
      <w:szCs w:val="18"/>
    </w:rPr>
  </w:style>
  <w:style w:type="character" w:customStyle="1" w:styleId="BalloonTextChar3">
    <w:name w:val="Balloon Text Char3"/>
    <w:uiPriority w:val="99"/>
    <w:semiHidden/>
    <w:rsid w:val="00EE3AEB"/>
    <w:rPr>
      <w:rFonts w:ascii="Lucida Grande" w:hAnsi="Lucida Grande" w:cs="Lucida Grande"/>
      <w:sz w:val="18"/>
      <w:szCs w:val="18"/>
    </w:rPr>
  </w:style>
  <w:style w:type="character" w:customStyle="1" w:styleId="BalloonTextChar2">
    <w:name w:val="Balloon Text Char2"/>
    <w:uiPriority w:val="99"/>
    <w:semiHidden/>
    <w:rsid w:val="00EE3AEB"/>
    <w:rPr>
      <w:rFonts w:ascii="Lucida Grande" w:hAnsi="Lucida Grande"/>
      <w:sz w:val="18"/>
      <w:szCs w:val="18"/>
    </w:rPr>
  </w:style>
  <w:style w:type="character" w:customStyle="1" w:styleId="BobletekstTegn">
    <w:name w:val="Bobletekst Tegn"/>
    <w:uiPriority w:val="99"/>
    <w:semiHidden/>
    <w:rsid w:val="00EE3AEB"/>
    <w:rPr>
      <w:rFonts w:ascii="Lucida Grande" w:hAnsi="Lucida Grande"/>
      <w:sz w:val="18"/>
      <w:szCs w:val="18"/>
    </w:rPr>
  </w:style>
  <w:style w:type="character" w:customStyle="1" w:styleId="BobletekstTegn3">
    <w:name w:val="Bobletekst Tegn3"/>
    <w:uiPriority w:val="99"/>
    <w:semiHidden/>
    <w:rsid w:val="00EE3AEB"/>
    <w:rPr>
      <w:rFonts w:ascii="Lucida Grande" w:hAnsi="Lucida Grande"/>
      <w:sz w:val="18"/>
      <w:szCs w:val="18"/>
    </w:rPr>
  </w:style>
  <w:style w:type="character" w:customStyle="1" w:styleId="BobletekstTegn2">
    <w:name w:val="Bobletekst Tegn2"/>
    <w:uiPriority w:val="99"/>
    <w:semiHidden/>
    <w:rsid w:val="00EE3AEB"/>
    <w:rPr>
      <w:rFonts w:ascii="Lucida Grande" w:hAnsi="Lucida Grande" w:cs="Lucida Grande"/>
      <w:sz w:val="18"/>
      <w:szCs w:val="18"/>
    </w:rPr>
  </w:style>
  <w:style w:type="character" w:customStyle="1" w:styleId="BobletekstTegn1">
    <w:name w:val="Bobletekst Tegn1"/>
    <w:uiPriority w:val="99"/>
    <w:semiHidden/>
    <w:rsid w:val="00EE3AEB"/>
    <w:rPr>
      <w:rFonts w:ascii="Lucida Grande" w:hAnsi="Lucida Grande"/>
      <w:sz w:val="18"/>
      <w:szCs w:val="18"/>
    </w:rPr>
  </w:style>
  <w:style w:type="character" w:styleId="Hyperlink">
    <w:name w:val="Hyperlink"/>
    <w:uiPriority w:val="99"/>
    <w:rsid w:val="00EE3AEB"/>
    <w:rPr>
      <w:u w:val="single"/>
    </w:rPr>
  </w:style>
  <w:style w:type="paragraph" w:customStyle="1" w:styleId="Default">
    <w:name w:val="Default"/>
    <w:rsid w:val="00EE3AE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Footnote">
    <w:name w:val="Footnote"/>
    <w:rsid w:val="00EE3AEB"/>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CommentText">
    <w:name w:val="annotation text"/>
    <w:basedOn w:val="Normal"/>
    <w:link w:val="CommentTextChar"/>
    <w:uiPriority w:val="99"/>
    <w:unhideWhenUsed/>
    <w:rsid w:val="00EE3AEB"/>
    <w:pPr>
      <w:pBdr>
        <w:top w:val="nil"/>
        <w:left w:val="nil"/>
        <w:bottom w:val="nil"/>
        <w:right w:val="nil"/>
        <w:between w:val="nil"/>
        <w:bar w:val="nil"/>
      </w:pBdr>
    </w:pPr>
    <w:rPr>
      <w:rFonts w:eastAsia="Arial Unicode MS" w:cs="Arial Unicode MS"/>
      <w:color w:val="000000"/>
      <w:lang w:eastAsia="en-GB"/>
    </w:rPr>
  </w:style>
  <w:style w:type="character" w:customStyle="1" w:styleId="CommentTextChar">
    <w:name w:val="Comment Text Char"/>
    <w:basedOn w:val="DefaultParagraphFont"/>
    <w:link w:val="CommentText"/>
    <w:uiPriority w:val="99"/>
    <w:rsid w:val="00EE3AEB"/>
    <w:rPr>
      <w:rFonts w:ascii="Times New Roman" w:eastAsia="Arial Unicode MS" w:hAnsi="Times New Roman" w:cs="Arial Unicode MS"/>
      <w:color w:val="000000"/>
      <w:sz w:val="20"/>
      <w:szCs w:val="20"/>
      <w:lang w:eastAsia="en-GB"/>
    </w:rPr>
  </w:style>
  <w:style w:type="character" w:styleId="CommentReference">
    <w:name w:val="annotation reference"/>
    <w:uiPriority w:val="99"/>
    <w:semiHidden/>
    <w:unhideWhenUsed/>
    <w:rsid w:val="00EE3AEB"/>
    <w:rPr>
      <w:sz w:val="16"/>
      <w:szCs w:val="16"/>
    </w:rPr>
  </w:style>
  <w:style w:type="character" w:customStyle="1" w:styleId="BalloonTextChar1">
    <w:name w:val="Balloon Text Char1"/>
    <w:link w:val="BalloonText"/>
    <w:uiPriority w:val="99"/>
    <w:semiHidden/>
    <w:rsid w:val="00EE3AEB"/>
    <w:rPr>
      <w:rFonts w:ascii="Lucida Grande" w:eastAsia="Arial Unicode MS" w:hAnsi="Lucida Grande" w:cs="Arial Unicode MS"/>
      <w:color w:val="000000"/>
      <w:sz w:val="18"/>
      <w:szCs w:val="18"/>
      <w:lang w:val="x-none" w:eastAsia="x-none"/>
    </w:rPr>
  </w:style>
  <w:style w:type="paragraph" w:styleId="CommentSubject">
    <w:name w:val="annotation subject"/>
    <w:basedOn w:val="CommentText"/>
    <w:next w:val="CommentText"/>
    <w:link w:val="CommentSubjectChar"/>
    <w:uiPriority w:val="99"/>
    <w:semiHidden/>
    <w:unhideWhenUsed/>
    <w:rsid w:val="00EE3AEB"/>
    <w:rPr>
      <w:b/>
      <w:bCs/>
    </w:rPr>
  </w:style>
  <w:style w:type="character" w:customStyle="1" w:styleId="CommentSubjectChar">
    <w:name w:val="Comment Subject Char"/>
    <w:basedOn w:val="CommentTextChar"/>
    <w:link w:val="CommentSubject"/>
    <w:uiPriority w:val="99"/>
    <w:semiHidden/>
    <w:rsid w:val="00EE3AEB"/>
    <w:rPr>
      <w:rFonts w:ascii="Times New Roman" w:eastAsia="Arial Unicode MS" w:hAnsi="Times New Roman" w:cs="Arial Unicode MS"/>
      <w:b/>
      <w:bCs/>
      <w:color w:val="000000"/>
      <w:sz w:val="20"/>
      <w:szCs w:val="20"/>
      <w:lang w:eastAsia="en-GB"/>
    </w:rPr>
  </w:style>
  <w:style w:type="paragraph" w:styleId="Revision">
    <w:name w:val="Revision"/>
    <w:hidden/>
    <w:uiPriority w:val="99"/>
    <w:semiHidden/>
    <w:rsid w:val="00EE3AEB"/>
    <w:rPr>
      <w:rFonts w:ascii="Times New Roman" w:eastAsia="Arial Unicode MS" w:hAnsi="Times New Roman" w:cs="Times New Roman"/>
      <w:bdr w:val="nil"/>
      <w:lang w:val="en-US"/>
    </w:rPr>
  </w:style>
  <w:style w:type="paragraph" w:styleId="FootnoteText">
    <w:name w:val="footnote text"/>
    <w:basedOn w:val="Footnote"/>
    <w:link w:val="FootnoteTextChar"/>
    <w:rsid w:val="00EE3AEB"/>
    <w:rPr>
      <w:rFonts w:cs="Times New Roman"/>
      <w:sz w:val="18"/>
      <w:szCs w:val="20"/>
      <w:bdr w:val="none" w:sz="0" w:space="0" w:color="auto"/>
      <w:lang w:val="x-none"/>
    </w:rPr>
  </w:style>
  <w:style w:type="character" w:customStyle="1" w:styleId="FootnoteTextChar">
    <w:name w:val="Footnote Text Char"/>
    <w:basedOn w:val="DefaultParagraphFont"/>
    <w:link w:val="FootnoteText"/>
    <w:rsid w:val="00EE3AEB"/>
    <w:rPr>
      <w:rFonts w:ascii="Helvetica" w:eastAsia="Helvetica" w:hAnsi="Helvetica" w:cs="Times New Roman"/>
      <w:color w:val="000000"/>
      <w:sz w:val="18"/>
      <w:szCs w:val="20"/>
      <w:lang w:val="x-none" w:eastAsia="en-GB"/>
    </w:rPr>
  </w:style>
  <w:style w:type="character" w:styleId="FootnoteReference">
    <w:name w:val="footnote reference"/>
    <w:uiPriority w:val="99"/>
    <w:rsid w:val="00EE3AEB"/>
    <w:rPr>
      <w:rFonts w:ascii="Helvetica" w:eastAsia="Helvetica" w:hAnsi="Helvetica" w:cs="Helvetica"/>
      <w:color w:val="000000"/>
      <w:sz w:val="18"/>
      <w:vertAlign w:val="superscript"/>
      <w:lang w:eastAsia="en-GB"/>
    </w:rPr>
  </w:style>
  <w:style w:type="paragraph" w:styleId="EndnoteText">
    <w:name w:val="endnote text"/>
    <w:basedOn w:val="Normal"/>
    <w:link w:val="EndnoteTextChar"/>
    <w:uiPriority w:val="99"/>
    <w:unhideWhenUsed/>
    <w:rsid w:val="00EE3AEB"/>
    <w:rPr>
      <w:rFonts w:ascii="Arial" w:eastAsia="MS Mincho" w:hAnsi="Arial" w:cs="Arial"/>
      <w:bCs/>
      <w:color w:val="1A1A1A"/>
      <w:szCs w:val="22"/>
      <w:lang w:eastAsia="en-GB"/>
    </w:rPr>
  </w:style>
  <w:style w:type="character" w:customStyle="1" w:styleId="EndnoteTextChar">
    <w:name w:val="Endnote Text Char"/>
    <w:basedOn w:val="DefaultParagraphFont"/>
    <w:link w:val="EndnoteText"/>
    <w:uiPriority w:val="99"/>
    <w:rsid w:val="00EE3AEB"/>
    <w:rPr>
      <w:rFonts w:ascii="Arial" w:eastAsia="MS Mincho" w:hAnsi="Arial" w:cs="Arial"/>
      <w:bCs/>
      <w:color w:val="1A1A1A"/>
      <w:sz w:val="20"/>
      <w:szCs w:val="22"/>
      <w:lang w:eastAsia="en-GB"/>
    </w:rPr>
  </w:style>
  <w:style w:type="table" w:styleId="TableGrid">
    <w:name w:val="Table Grid"/>
    <w:basedOn w:val="TableNormal"/>
    <w:uiPriority w:val="39"/>
    <w:rsid w:val="00EE3AEB"/>
    <w:rPr>
      <w:rFonts w:ascii="Times New Roman" w:eastAsia="Arial Unicode MS"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
    <w:name w:val="Box"/>
    <w:basedOn w:val="Question"/>
    <w:rsid w:val="00EE3AEB"/>
    <w:pPr>
      <w:shd w:val="clear" w:color="auto" w:fill="D9D9D9"/>
    </w:pPr>
    <w:rPr>
      <w:i w:val="0"/>
      <w:color w:val="auto"/>
    </w:rPr>
  </w:style>
  <w:style w:type="paragraph" w:customStyle="1" w:styleId="BodyB">
    <w:name w:val="Body B"/>
    <w:rsid w:val="00EE3AEB"/>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character" w:styleId="Emphasis">
    <w:name w:val="Emphasis"/>
    <w:uiPriority w:val="20"/>
    <w:qFormat/>
    <w:rsid w:val="00EE3AEB"/>
    <w:rPr>
      <w:i/>
      <w:iCs/>
    </w:rPr>
  </w:style>
  <w:style w:type="character" w:styleId="FollowedHyperlink">
    <w:name w:val="FollowedHyperlink"/>
    <w:rsid w:val="00EE3AEB"/>
    <w:rPr>
      <w:color w:val="800080"/>
      <w:u w:val="single"/>
    </w:rPr>
  </w:style>
  <w:style w:type="paragraph" w:customStyle="1" w:styleId="Bullets">
    <w:name w:val="Bullets"/>
    <w:basedOn w:val="Normal"/>
    <w:rsid w:val="00EE3AEB"/>
    <w:pPr>
      <w:numPr>
        <w:numId w:val="1"/>
      </w:numPr>
      <w:pBdr>
        <w:top w:val="nil"/>
        <w:left w:val="nil"/>
        <w:bottom w:val="nil"/>
        <w:right w:val="nil"/>
        <w:between w:val="nil"/>
        <w:bar w:val="nil"/>
      </w:pBdr>
      <w:spacing w:before="120" w:after="120"/>
    </w:pPr>
    <w:rPr>
      <w:rFonts w:eastAsia="Arial Unicode MS" w:cs="Arial Unicode MS"/>
      <w:color w:val="000000"/>
      <w:sz w:val="22"/>
      <w:szCs w:val="22"/>
      <w:bdr w:val="nil"/>
      <w:lang w:eastAsia="en-GB"/>
    </w:rPr>
  </w:style>
  <w:style w:type="paragraph" w:customStyle="1" w:styleId="Source">
    <w:name w:val="Source"/>
    <w:basedOn w:val="Normal"/>
    <w:rsid w:val="00EE3AEB"/>
    <w:pPr>
      <w:pBdr>
        <w:top w:val="nil"/>
        <w:left w:val="nil"/>
        <w:bottom w:val="nil"/>
        <w:right w:val="nil"/>
        <w:between w:val="nil"/>
        <w:bar w:val="nil"/>
      </w:pBdr>
    </w:pPr>
    <w:rPr>
      <w:rFonts w:eastAsia="Arial Unicode MS" w:cs="Arial Unicode MS"/>
      <w:i/>
      <w:color w:val="000000"/>
      <w:szCs w:val="22"/>
      <w:bdr w:val="nil"/>
      <w:lang w:eastAsia="en-GB"/>
    </w:rPr>
  </w:style>
  <w:style w:type="paragraph" w:customStyle="1" w:styleId="TableCaption">
    <w:name w:val="Table_Caption"/>
    <w:basedOn w:val="Normal"/>
    <w:rsid w:val="00EE3AEB"/>
    <w:pPr>
      <w:pBdr>
        <w:top w:val="nil"/>
        <w:left w:val="nil"/>
        <w:bottom w:val="nil"/>
        <w:right w:val="nil"/>
        <w:between w:val="nil"/>
        <w:bar w:val="nil"/>
      </w:pBdr>
      <w:spacing w:after="120"/>
    </w:pPr>
    <w:rPr>
      <w:rFonts w:eastAsia="Arial Unicode MS" w:cs="Arial Unicode MS"/>
      <w:b/>
      <w:color w:val="000000"/>
      <w:sz w:val="22"/>
      <w:szCs w:val="22"/>
      <w:bdr w:val="nil"/>
      <w:lang w:eastAsia="en-GB"/>
    </w:rPr>
  </w:style>
  <w:style w:type="character" w:customStyle="1" w:styleId="apple-converted-space">
    <w:name w:val="apple-converted-space"/>
    <w:basedOn w:val="DefaultParagraphFont"/>
    <w:rsid w:val="00EE3AEB"/>
  </w:style>
  <w:style w:type="paragraph" w:customStyle="1" w:styleId="Questionnumbers">
    <w:name w:val="Question_numbers"/>
    <w:basedOn w:val="Question"/>
    <w:rsid w:val="00EE3AEB"/>
    <w:pPr>
      <w:numPr>
        <w:numId w:val="2"/>
      </w:numPr>
    </w:pPr>
  </w:style>
  <w:style w:type="paragraph" w:styleId="ListParagraph">
    <w:name w:val="List Paragraph"/>
    <w:basedOn w:val="Normal"/>
    <w:link w:val="ListParagraphChar"/>
    <w:uiPriority w:val="1"/>
    <w:qFormat/>
    <w:rsid w:val="00EE3AEB"/>
    <w:pPr>
      <w:pBdr>
        <w:top w:val="nil"/>
        <w:left w:val="nil"/>
        <w:bottom w:val="nil"/>
        <w:right w:val="nil"/>
        <w:between w:val="nil"/>
        <w:bar w:val="nil"/>
      </w:pBdr>
      <w:ind w:left="720"/>
      <w:contextualSpacing/>
    </w:pPr>
    <w:rPr>
      <w:rFonts w:eastAsia="Arial Unicode MS" w:cs="Arial Unicode MS"/>
      <w:color w:val="000000"/>
      <w:sz w:val="22"/>
      <w:szCs w:val="22"/>
      <w:bdr w:val="nil"/>
      <w:lang w:eastAsia="en-GB"/>
    </w:rPr>
  </w:style>
  <w:style w:type="character" w:styleId="EndnoteReference">
    <w:name w:val="endnote reference"/>
    <w:uiPriority w:val="99"/>
    <w:unhideWhenUsed/>
    <w:rsid w:val="00EE3AEB"/>
    <w:rPr>
      <w:vertAlign w:val="superscript"/>
    </w:rPr>
  </w:style>
  <w:style w:type="paragraph" w:styleId="DocumentMap">
    <w:name w:val="Document Map"/>
    <w:basedOn w:val="Normal"/>
    <w:link w:val="DocumentMapChar"/>
    <w:semiHidden/>
    <w:unhideWhenUsed/>
    <w:rsid w:val="00EE3AEB"/>
    <w:pPr>
      <w:pBdr>
        <w:top w:val="nil"/>
        <w:left w:val="nil"/>
        <w:bottom w:val="nil"/>
        <w:right w:val="nil"/>
        <w:between w:val="nil"/>
        <w:bar w:val="nil"/>
      </w:pBdr>
    </w:pPr>
    <w:rPr>
      <w:rFonts w:eastAsia="Arial Unicode MS" w:cs="Arial Unicode MS"/>
      <w:color w:val="000000"/>
      <w:szCs w:val="22"/>
      <w:bdr w:val="nil"/>
      <w:lang w:eastAsia="en-GB"/>
    </w:rPr>
  </w:style>
  <w:style w:type="character" w:customStyle="1" w:styleId="DocumentMapChar">
    <w:name w:val="Document Map Char"/>
    <w:basedOn w:val="DefaultParagraphFont"/>
    <w:link w:val="DocumentMap"/>
    <w:semiHidden/>
    <w:rsid w:val="00EE3AEB"/>
    <w:rPr>
      <w:rFonts w:ascii="Times New Roman" w:eastAsia="Arial Unicode MS" w:hAnsi="Times New Roman" w:cs="Arial Unicode MS"/>
      <w:color w:val="000000"/>
      <w:szCs w:val="22"/>
      <w:bdr w:val="nil"/>
      <w:lang w:eastAsia="en-GB"/>
    </w:rPr>
  </w:style>
  <w:style w:type="paragraph" w:styleId="NormalWeb">
    <w:name w:val="Normal (Web)"/>
    <w:basedOn w:val="Normal"/>
    <w:uiPriority w:val="99"/>
    <w:unhideWhenUsed/>
    <w:rsid w:val="00EE3AEB"/>
    <w:pPr>
      <w:pBdr>
        <w:top w:val="nil"/>
        <w:left w:val="nil"/>
        <w:bottom w:val="nil"/>
        <w:right w:val="nil"/>
        <w:between w:val="nil"/>
        <w:bar w:val="nil"/>
      </w:pBdr>
    </w:pPr>
    <w:rPr>
      <w:rFonts w:eastAsia="Arial Unicode MS" w:cs="Arial Unicode MS"/>
      <w:color w:val="000000"/>
      <w:szCs w:val="22"/>
      <w:bdr w:val="nil"/>
      <w:lang w:eastAsia="en-GB"/>
    </w:rPr>
  </w:style>
  <w:style w:type="paragraph" w:styleId="TOCHeading">
    <w:name w:val="TOC Heading"/>
    <w:basedOn w:val="Heading1"/>
    <w:next w:val="Normal"/>
    <w:uiPriority w:val="39"/>
    <w:unhideWhenUsed/>
    <w:qFormat/>
    <w:rsid w:val="00EE3AE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C0CD9"/>
    <w:pPr>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0C0CD9"/>
    <w:pPr>
      <w:ind w:left="200"/>
    </w:pPr>
    <w:rPr>
      <w:rFonts w:asciiTheme="minorHAnsi" w:hAnsiTheme="minorHAnsi" w:cstheme="minorHAnsi"/>
      <w:smallCaps/>
    </w:rPr>
  </w:style>
  <w:style w:type="paragraph" w:styleId="TOC3">
    <w:name w:val="toc 3"/>
    <w:basedOn w:val="Normal"/>
    <w:next w:val="Normal"/>
    <w:autoRedefine/>
    <w:uiPriority w:val="39"/>
    <w:unhideWhenUsed/>
    <w:rsid w:val="00EE3AEB"/>
    <w:pPr>
      <w:ind w:left="400"/>
    </w:pPr>
    <w:rPr>
      <w:rFonts w:asciiTheme="minorHAnsi" w:hAnsiTheme="minorHAnsi" w:cstheme="minorHAnsi"/>
      <w:i/>
      <w:iCs/>
    </w:rPr>
  </w:style>
  <w:style w:type="paragraph" w:styleId="TOC4">
    <w:name w:val="toc 4"/>
    <w:basedOn w:val="Normal"/>
    <w:next w:val="Normal"/>
    <w:autoRedefine/>
    <w:uiPriority w:val="39"/>
    <w:unhideWhenUsed/>
    <w:rsid w:val="00EE3AE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E3AE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E3AE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E3AE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E3AE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E3AEB"/>
    <w:pPr>
      <w:ind w:left="1600"/>
    </w:pPr>
    <w:rPr>
      <w:rFonts w:asciiTheme="minorHAnsi" w:hAnsiTheme="minorHAnsi" w:cstheme="minorHAnsi"/>
      <w:sz w:val="18"/>
      <w:szCs w:val="18"/>
    </w:rPr>
  </w:style>
  <w:style w:type="character" w:styleId="Strong">
    <w:name w:val="Strong"/>
    <w:basedOn w:val="DefaultParagraphFont"/>
    <w:uiPriority w:val="22"/>
    <w:qFormat/>
    <w:rsid w:val="00EE3AEB"/>
    <w:rPr>
      <w:rFonts w:ascii="Gill Sans" w:hAnsi="Gill Sans"/>
      <w:b w:val="0"/>
      <w:bCs w:val="0"/>
      <w:i w:val="0"/>
      <w:iCs w:val="0"/>
      <w:color w:val="auto"/>
    </w:rPr>
  </w:style>
  <w:style w:type="paragraph" w:styleId="Caption">
    <w:name w:val="caption"/>
    <w:basedOn w:val="Normal"/>
    <w:next w:val="Normal"/>
    <w:uiPriority w:val="35"/>
    <w:unhideWhenUsed/>
    <w:qFormat/>
    <w:rsid w:val="00EE3AEB"/>
    <w:pPr>
      <w:keepNext/>
      <w:pBdr>
        <w:top w:val="nil"/>
        <w:left w:val="nil"/>
        <w:bottom w:val="nil"/>
        <w:right w:val="nil"/>
        <w:between w:val="nil"/>
        <w:bar w:val="nil"/>
      </w:pBdr>
      <w:spacing w:after="200"/>
    </w:pPr>
    <w:rPr>
      <w:rFonts w:ascii="Gill Sans" w:eastAsia="Arial Unicode MS" w:hAnsi="Gill Sans" w:cs="Gill Sans"/>
      <w:color w:val="000000" w:themeColor="text1"/>
      <w:sz w:val="18"/>
      <w:szCs w:val="18"/>
      <w:bdr w:val="nil"/>
      <w:lang w:eastAsia="en-GB"/>
    </w:rPr>
  </w:style>
  <w:style w:type="paragraph" w:customStyle="1" w:styleId="Style1">
    <w:name w:val="Style1"/>
    <w:basedOn w:val="Normal"/>
    <w:qFormat/>
    <w:rsid w:val="00EE3AEB"/>
    <w:pPr>
      <w:pBdr>
        <w:top w:val="single" w:sz="4" w:space="1" w:color="auto"/>
      </w:pBdr>
    </w:pPr>
    <w:rPr>
      <w:rFonts w:eastAsiaTheme="minorHAnsi"/>
      <w:i/>
      <w:sz w:val="16"/>
      <w:szCs w:val="16"/>
    </w:rPr>
  </w:style>
  <w:style w:type="paragraph" w:customStyle="1" w:styleId="Normal10">
    <w:name w:val="Normal1"/>
    <w:rsid w:val="00EE3AEB"/>
    <w:rPr>
      <w:rFonts w:ascii="Cambria" w:eastAsia="Cambria" w:hAnsi="Cambria" w:cs="Cambria"/>
      <w:color w:val="000000"/>
    </w:rPr>
  </w:style>
  <w:style w:type="character" w:customStyle="1" w:styleId="Hyperlink0">
    <w:name w:val="Hyperlink.0"/>
    <w:basedOn w:val="DefaultParagraphFont"/>
    <w:rsid w:val="00EE3AEB"/>
    <w:rPr>
      <w:rFonts w:ascii="Gill Sans Light" w:eastAsia="Gill Sans Light" w:hAnsi="Gill Sans Light" w:cs="Gill Sans Light"/>
      <w:color w:val="0000FF"/>
      <w:sz w:val="16"/>
      <w:szCs w:val="16"/>
      <w:u w:val="single" w:color="0000FF"/>
    </w:rPr>
  </w:style>
  <w:style w:type="character" w:customStyle="1" w:styleId="Hyperlink1">
    <w:name w:val="Hyperlink.1"/>
    <w:basedOn w:val="DefaultParagraphFont"/>
    <w:rsid w:val="00EE3AEB"/>
    <w:rPr>
      <w:rFonts w:ascii="Gill Sans Nova Light" w:eastAsia="Gill Sans Nova Light" w:hAnsi="Gill Sans Nova Light" w:cs="Gill Sans Nova Light"/>
      <w:color w:val="0000FF"/>
      <w:sz w:val="16"/>
      <w:szCs w:val="16"/>
      <w:u w:val="single" w:color="0000FF"/>
    </w:rPr>
  </w:style>
  <w:style w:type="numbering" w:customStyle="1" w:styleId="ImportedStyle2">
    <w:name w:val="Imported Style 2"/>
    <w:rsid w:val="00EE3AEB"/>
  </w:style>
  <w:style w:type="paragraph" w:customStyle="1" w:styleId="Normal2">
    <w:name w:val="Normal 2"/>
    <w:basedOn w:val="Normal"/>
    <w:qFormat/>
    <w:rsid w:val="00EE3AEB"/>
    <w:rPr>
      <w:rFonts w:ascii="Gill Sans" w:eastAsia="Arial Unicode MS" w:hAnsi="Gill Sans"/>
      <w:sz w:val="22"/>
      <w:lang w:eastAsia="zh-CN"/>
    </w:rPr>
  </w:style>
  <w:style w:type="table" w:styleId="GridTable4-Accent1">
    <w:name w:val="Grid Table 4 Accent 1"/>
    <w:basedOn w:val="TableNormal"/>
    <w:uiPriority w:val="49"/>
    <w:rsid w:val="00EE3AEB"/>
    <w:rPr>
      <w:rFonts w:ascii="Times New Roman" w:eastAsia="Arial Unicode MS" w:hAnsi="Times New Roman" w:cs="Times New Roman"/>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EE3AEB"/>
  </w:style>
  <w:style w:type="table" w:styleId="ListTable7ColourfulAccent1">
    <w:name w:val="List Table 7 Colorful Accent 1"/>
    <w:basedOn w:val="TableNormal"/>
    <w:uiPriority w:val="52"/>
    <w:rsid w:val="00EE3AEB"/>
    <w:pPr>
      <w:pBdr>
        <w:top w:val="nil"/>
        <w:left w:val="nil"/>
        <w:bottom w:val="nil"/>
        <w:right w:val="nil"/>
        <w:between w:val="nil"/>
        <w:bar w:val="nil"/>
      </w:pBdr>
    </w:pPr>
    <w:rPr>
      <w:rFonts w:ascii="Gill Sans Nova Light" w:eastAsia="Arial Unicode MS" w:hAnsi="Gill Sans Nova Light"/>
      <w:color w:val="2F5496" w:themeColor="accent1" w:themeShade="BF"/>
      <w:sz w:val="32"/>
      <w:szCs w:val="32"/>
      <w:u w:color="2C6F95"/>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EE3AEB"/>
    <w:rPr>
      <w:color w:val="605E5C"/>
      <w:shd w:val="clear" w:color="auto" w:fill="E1DFDD"/>
    </w:rPr>
  </w:style>
  <w:style w:type="character" w:customStyle="1" w:styleId="ListParagraphChar">
    <w:name w:val="List Paragraph Char"/>
    <w:link w:val="ListParagraph"/>
    <w:uiPriority w:val="1"/>
    <w:locked/>
    <w:rsid w:val="00EE3AEB"/>
    <w:rPr>
      <w:rFonts w:ascii="Gill Sans Light" w:eastAsia="Arial Unicode MS" w:hAnsi="Gill Sans Light" w:cs="Arial Unicode MS"/>
      <w:color w:val="000000"/>
      <w:sz w:val="22"/>
      <w:szCs w:val="22"/>
      <w:bdr w:val="nil"/>
      <w:lang w:eastAsia="en-GB"/>
    </w:rPr>
  </w:style>
  <w:style w:type="character" w:customStyle="1" w:styleId="UnresolvedMention2">
    <w:name w:val="Unresolved Mention2"/>
    <w:basedOn w:val="DefaultParagraphFont"/>
    <w:uiPriority w:val="99"/>
    <w:semiHidden/>
    <w:unhideWhenUsed/>
    <w:rsid w:val="00EE3AEB"/>
    <w:rPr>
      <w:color w:val="605E5C"/>
      <w:shd w:val="clear" w:color="auto" w:fill="E1DFDD"/>
    </w:rPr>
  </w:style>
  <w:style w:type="paragraph" w:customStyle="1" w:styleId="VividBullets">
    <w:name w:val="Vivid_Bullets"/>
    <w:rsid w:val="00EE3AEB"/>
    <w:pPr>
      <w:pBdr>
        <w:top w:val="nil"/>
        <w:left w:val="nil"/>
        <w:bottom w:val="nil"/>
        <w:right w:val="nil"/>
        <w:between w:val="nil"/>
        <w:bar w:val="nil"/>
      </w:pBdr>
      <w:tabs>
        <w:tab w:val="left" w:pos="397"/>
      </w:tabs>
    </w:pPr>
    <w:rPr>
      <w:rFonts w:ascii="Gill Sans Light" w:eastAsia="Arial Unicode MS" w:hAnsi="Gill Sans Light" w:cs="Arial Unicode MS"/>
      <w:color w:val="000000"/>
      <w:sz w:val="22"/>
      <w:szCs w:val="22"/>
      <w:u w:color="000000"/>
      <w:bdr w:val="nil"/>
      <w:lang w:val="en-US"/>
    </w:rPr>
  </w:style>
  <w:style w:type="numbering" w:customStyle="1" w:styleId="ImportedStyle11">
    <w:name w:val="Imported Style 11"/>
    <w:rsid w:val="00EE3AEB"/>
  </w:style>
  <w:style w:type="character" w:customStyle="1" w:styleId="UnresolvedMention3">
    <w:name w:val="Unresolved Mention3"/>
    <w:basedOn w:val="DefaultParagraphFont"/>
    <w:rsid w:val="00EE3AEB"/>
    <w:rPr>
      <w:color w:val="605E5C"/>
      <w:shd w:val="clear" w:color="auto" w:fill="E1DFDD"/>
    </w:rPr>
  </w:style>
  <w:style w:type="character" w:customStyle="1" w:styleId="gi">
    <w:name w:val="gi"/>
    <w:basedOn w:val="DefaultParagraphFont"/>
    <w:rsid w:val="00EE3AEB"/>
  </w:style>
  <w:style w:type="character" w:customStyle="1" w:styleId="go">
    <w:name w:val="go"/>
    <w:basedOn w:val="DefaultParagraphFont"/>
    <w:rsid w:val="00EE3AEB"/>
  </w:style>
  <w:style w:type="table" w:customStyle="1" w:styleId="GridTable4-Accent11">
    <w:name w:val="Grid Table 4 - Accent 11"/>
    <w:basedOn w:val="TableNormal"/>
    <w:uiPriority w:val="49"/>
    <w:rsid w:val="00903D01"/>
    <w:rPr>
      <w:rFonts w:ascii="Times New Roman" w:eastAsia="Arial Unicode MS" w:hAnsi="Times New Roman" w:cs="Times New Roman"/>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7Colorful-Accent11">
    <w:name w:val="List Table 7 Colorful - Accent 11"/>
    <w:basedOn w:val="TableNormal"/>
    <w:uiPriority w:val="52"/>
    <w:rsid w:val="00903D01"/>
    <w:pPr>
      <w:pBdr>
        <w:top w:val="nil"/>
        <w:left w:val="nil"/>
        <w:bottom w:val="nil"/>
        <w:right w:val="nil"/>
        <w:between w:val="nil"/>
        <w:bar w:val="nil"/>
      </w:pBdr>
    </w:pPr>
    <w:rPr>
      <w:rFonts w:ascii="Gill Sans Nova Light" w:eastAsia="Arial Unicode MS" w:hAnsi="Gill Sans Nova Light"/>
      <w:color w:val="2F5496" w:themeColor="accent1" w:themeShade="BF"/>
      <w:sz w:val="32"/>
      <w:szCs w:val="32"/>
      <w:u w:color="2C6F95"/>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1">
    <w:name w:val="Unresolved Mention31"/>
    <w:basedOn w:val="DefaultParagraphFont"/>
    <w:rsid w:val="00903D01"/>
    <w:rPr>
      <w:color w:val="605E5C"/>
      <w:shd w:val="clear" w:color="auto" w:fill="E1DFDD"/>
    </w:rPr>
  </w:style>
  <w:style w:type="paragraph" w:styleId="BodyText">
    <w:name w:val="Body Text"/>
    <w:basedOn w:val="Normal"/>
    <w:link w:val="BodyTextChar"/>
    <w:uiPriority w:val="1"/>
    <w:qFormat/>
    <w:rsid w:val="00955ADD"/>
    <w:pPr>
      <w:widowControl w:val="0"/>
      <w:autoSpaceDE w:val="0"/>
      <w:autoSpaceDN w:val="0"/>
    </w:pPr>
    <w:rPr>
      <w:rFonts w:ascii="Ciutadella Regular" w:eastAsia="Ciutadella Regular" w:hAnsi="Ciutadella Regular" w:cs="Ciutadella Regular"/>
      <w:sz w:val="24"/>
      <w:szCs w:val="24"/>
      <w:lang w:val="en-US" w:eastAsia="en-US"/>
    </w:rPr>
  </w:style>
  <w:style w:type="character" w:customStyle="1" w:styleId="BodyTextChar">
    <w:name w:val="Body Text Char"/>
    <w:basedOn w:val="DefaultParagraphFont"/>
    <w:link w:val="BodyText"/>
    <w:uiPriority w:val="1"/>
    <w:rsid w:val="00955ADD"/>
    <w:rPr>
      <w:rFonts w:ascii="Ciutadella Regular" w:eastAsia="Ciutadella Regular" w:hAnsi="Ciutadella Regular" w:cs="Ciutadella Regular"/>
      <w:lang w:val="en-US"/>
    </w:rPr>
  </w:style>
  <w:style w:type="paragraph" w:customStyle="1" w:styleId="TableParagraph">
    <w:name w:val="Table Paragraph"/>
    <w:basedOn w:val="Normal"/>
    <w:uiPriority w:val="1"/>
    <w:qFormat/>
    <w:rsid w:val="00955ADD"/>
    <w:pPr>
      <w:widowControl w:val="0"/>
      <w:autoSpaceDE w:val="0"/>
      <w:autoSpaceDN w:val="0"/>
      <w:spacing w:before="50"/>
      <w:ind w:left="80"/>
    </w:pPr>
    <w:rPr>
      <w:rFonts w:ascii="Ciutadella Regular" w:eastAsia="Ciutadella Regular" w:hAnsi="Ciutadella Regular" w:cs="Ciutadella Regular"/>
      <w:sz w:val="22"/>
      <w:szCs w:val="22"/>
      <w:lang w:val="en-US" w:eastAsia="en-US"/>
    </w:rPr>
  </w:style>
  <w:style w:type="character" w:styleId="UnresolvedMention">
    <w:name w:val="Unresolved Mention"/>
    <w:basedOn w:val="DefaultParagraphFont"/>
    <w:uiPriority w:val="99"/>
    <w:semiHidden/>
    <w:unhideWhenUsed/>
    <w:rsid w:val="00AF3B46"/>
    <w:rPr>
      <w:color w:val="605E5C"/>
      <w:shd w:val="clear" w:color="auto" w:fill="E1DFDD"/>
    </w:rPr>
  </w:style>
  <w:style w:type="table" w:customStyle="1" w:styleId="a">
    <w:basedOn w:val="TableNormal"/>
    <w:pPr>
      <w:pBdr>
        <w:top w:val="nil"/>
        <w:left w:val="nil"/>
        <w:bottom w:val="nil"/>
        <w:right w:val="nil"/>
        <w:between w:val="nil"/>
      </w:pBdr>
    </w:pPr>
    <w:rPr>
      <w:color w:val="2F5496"/>
      <w:sz w:val="32"/>
      <w:szCs w:val="32"/>
    </w:rPr>
    <w:tblPr>
      <w:tblStyleRowBandSize w:val="1"/>
      <w:tblStyleColBandSize w:val="1"/>
      <w:tblCellMar>
        <w:top w:w="43" w:type="dxa"/>
        <w:left w:w="115" w:type="dxa"/>
        <w:bottom w:w="43"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pBdr>
        <w:top w:val="nil"/>
        <w:left w:val="nil"/>
        <w:bottom w:val="nil"/>
        <w:right w:val="nil"/>
        <w:between w:val="nil"/>
      </w:pBdr>
    </w:pPr>
    <w:rPr>
      <w:color w:val="2F5496"/>
      <w:sz w:val="32"/>
      <w:szCs w:val="32"/>
    </w:rPr>
    <w:tblPr>
      <w:tblStyleRowBandSize w:val="1"/>
      <w:tblStyleColBandSize w:val="1"/>
    </w:tblPr>
    <w:tblStylePr w:type="firstRow">
      <w:rPr>
        <w:rFonts w:ascii="Calibri" w:eastAsia="Calibri" w:hAnsi="Calibri" w:cs="Calibri"/>
        <w:i/>
        <w:sz w:val="26"/>
        <w:szCs w:val="26"/>
      </w:rPr>
      <w:tblPr/>
      <w:tcPr>
        <w:tcBorders>
          <w:bottom w:val="single" w:sz="4" w:space="0" w:color="4472C4"/>
        </w:tcBorders>
        <w:shd w:val="clear" w:color="auto" w:fill="FFFFFF"/>
      </w:tcPr>
    </w:tblStylePr>
    <w:tblStylePr w:type="lastRow">
      <w:rPr>
        <w:rFonts w:ascii="Calibri" w:eastAsia="Calibri" w:hAnsi="Calibri" w:cs="Calibri"/>
        <w:i/>
        <w:sz w:val="26"/>
        <w:szCs w:val="26"/>
      </w:rPr>
      <w:tblPr/>
      <w:tcPr>
        <w:tcBorders>
          <w:top w:val="single" w:sz="4" w:space="0" w:color="4472C4"/>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4472C4"/>
        </w:tcBorders>
        <w:shd w:val="clear" w:color="auto" w:fill="FFFFFF"/>
      </w:tcPr>
    </w:tblStylePr>
    <w:tblStylePr w:type="lastCol">
      <w:rPr>
        <w:rFonts w:ascii="Calibri" w:eastAsia="Calibri" w:hAnsi="Calibri" w:cs="Calibri"/>
        <w:i/>
        <w:sz w:val="26"/>
        <w:szCs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pBdr>
        <w:top w:val="nil"/>
        <w:left w:val="nil"/>
        <w:bottom w:val="nil"/>
        <w:right w:val="nil"/>
        <w:between w:val="nil"/>
      </w:pBdr>
    </w:pPr>
    <w:rPr>
      <w:color w:val="2F5496"/>
      <w:sz w:val="32"/>
      <w:szCs w:val="32"/>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pBdr>
        <w:top w:val="nil"/>
        <w:left w:val="nil"/>
        <w:bottom w:val="nil"/>
        <w:right w:val="nil"/>
        <w:between w:val="nil"/>
      </w:pBdr>
    </w:pPr>
    <w:rPr>
      <w:color w:val="2F5496"/>
      <w:sz w:val="32"/>
      <w:szCs w:val="32"/>
    </w:rPr>
    <w:tblPr>
      <w:tblStyleRowBandSize w:val="1"/>
      <w:tblStyleColBandSize w:val="1"/>
    </w:tblPr>
  </w:style>
  <w:style w:type="table" w:customStyle="1" w:styleId="a6">
    <w:basedOn w:val="TableNormal"/>
    <w:pPr>
      <w:pBdr>
        <w:top w:val="nil"/>
        <w:left w:val="nil"/>
        <w:bottom w:val="nil"/>
        <w:right w:val="nil"/>
        <w:between w:val="nil"/>
      </w:pBdr>
    </w:pPr>
    <w:rPr>
      <w:color w:val="2F5496"/>
      <w:sz w:val="32"/>
      <w:szCs w:val="32"/>
    </w:rPr>
    <w:tblPr>
      <w:tblStyleRowBandSize w:val="1"/>
      <w:tblStyleColBandSize w:val="1"/>
    </w:tblPr>
  </w:style>
  <w:style w:type="table" w:customStyle="1" w:styleId="a7">
    <w:basedOn w:val="TableNormal"/>
    <w:pPr>
      <w:pBdr>
        <w:top w:val="nil"/>
        <w:left w:val="nil"/>
        <w:bottom w:val="nil"/>
        <w:right w:val="nil"/>
        <w:between w:val="nil"/>
      </w:pBdr>
    </w:pPr>
    <w:rPr>
      <w:color w:val="2F5496"/>
      <w:sz w:val="32"/>
      <w:szCs w:val="32"/>
    </w:r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pBdr>
        <w:top w:val="nil"/>
        <w:left w:val="nil"/>
        <w:bottom w:val="nil"/>
        <w:right w:val="nil"/>
        <w:between w:val="nil"/>
      </w:pBdr>
    </w:pPr>
    <w:rPr>
      <w:color w:val="2F5496"/>
      <w:sz w:val="32"/>
      <w:szCs w:val="32"/>
    </w:rPr>
    <w:tblPr>
      <w:tblStyleRowBandSize w:val="1"/>
      <w:tblStyleColBandSize w:val="1"/>
    </w:tblPr>
  </w:style>
  <w:style w:type="table" w:customStyle="1" w:styleId="ad">
    <w:basedOn w:val="TableNormal"/>
    <w:pPr>
      <w:pBdr>
        <w:top w:val="nil"/>
        <w:left w:val="nil"/>
        <w:bottom w:val="nil"/>
        <w:right w:val="nil"/>
        <w:between w:val="nil"/>
      </w:pBdr>
    </w:pPr>
    <w:rPr>
      <w:color w:val="2F5496"/>
      <w:sz w:val="32"/>
      <w:szCs w:val="32"/>
    </w:rPr>
    <w:tblPr>
      <w:tblStyleRowBandSize w:val="1"/>
      <w:tblStyleColBandSize w:val="1"/>
    </w:tblPr>
  </w:style>
  <w:style w:type="table" w:customStyle="1" w:styleId="ae">
    <w:basedOn w:val="TableNormal"/>
    <w:pPr>
      <w:pBdr>
        <w:top w:val="nil"/>
        <w:left w:val="nil"/>
        <w:bottom w:val="nil"/>
        <w:right w:val="nil"/>
        <w:between w:val="nil"/>
      </w:pBdr>
    </w:pPr>
    <w:rPr>
      <w:color w:val="2F5496"/>
      <w:sz w:val="32"/>
      <w:szCs w:val="32"/>
    </w:rPr>
    <w:tblPr>
      <w:tblStyleRowBandSize w:val="1"/>
      <w:tblStyleColBandSize w:val="1"/>
    </w:tblPr>
  </w:style>
  <w:style w:type="table" w:customStyle="1" w:styleId="af">
    <w:basedOn w:val="TableNormal"/>
    <w:pPr>
      <w:pBdr>
        <w:top w:val="nil"/>
        <w:left w:val="nil"/>
        <w:bottom w:val="nil"/>
        <w:right w:val="nil"/>
        <w:between w:val="nil"/>
      </w:pBdr>
    </w:pPr>
    <w:rPr>
      <w:color w:val="2F5496"/>
      <w:sz w:val="32"/>
      <w:szCs w:val="3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6.png"/><Relationship Id="rId26" Type="http://schemas.openxmlformats.org/officeDocument/2006/relationships/hyperlink" Target="http://www.imo.org/en/About/Conventions/ListOfConventions/Pages/Convention-on-the-Prevention-of-Marine-Pollution-by-Dumping-of-Wastes-and-Other-Matter.aspx"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yperlink" Target="http://www.imo.org/en/About/Conventions/ListOfConventions/Pages/International-Convention-for-the-Safety-of-Life-at-Sea-(SOLAS),-1974.asp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hyperlink" Target="http://www.imo.org/en/About/Conventions/ListOfConventions/Pages/International-Convention-for-the-Control-and-Management-of-Ships%27-Ballast-Water-and-Sediments-(BWM).aspx"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hyperlink" Target="http://www.imo.org/en/About/Conventions/ListOfConventions/Pages/International-Convention-on-the-Control-of-Harmful-Anti-fouling-Systems-on-Ships-(AFS).aspx" TargetMode="External"/><Relationship Id="rId10" Type="http://schemas.openxmlformats.org/officeDocument/2006/relationships/footer" Target="footer2.xml"/><Relationship Id="rId19" Type="http://schemas.openxmlformats.org/officeDocument/2006/relationships/image" Target="media/image7.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imo.org/en/About/Conventions/ListOfConventions/Pages/Protocol-on-Preparedness,-Response-and-Co-operation-to-pollution-Incidents-by-Hazardous-and-Noxious-Substances-(OPRC-HNS-Pr.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manchester.ac.uk/portal/en/publications/third-imo-greenhouse-gas-study-2014(e43828fb-354c-4459-bfc5-77ac7fa4a181).html" TargetMode="External"/><Relationship Id="rId3" Type="http://schemas.openxmlformats.org/officeDocument/2006/relationships/hyperlink" Target="http://www.imo.org/en/OurWork/Environment/PollutionPrevention/AirPollution/Documents/Third%20Greenhouse%20Gas%20Study/GHG3%20Executive%20Summary%20and%20Report.pdf" TargetMode="External"/><Relationship Id="rId7" Type="http://schemas.openxmlformats.org/officeDocument/2006/relationships/hyperlink" Target="http://www.lowcarbonshipping.co.uk" TargetMode="External"/><Relationship Id="rId2" Type="http://schemas.openxmlformats.org/officeDocument/2006/relationships/hyperlink" Target="https://www.fsb-tcfd.org/publications/final-recommendations-report/" TargetMode="External"/><Relationship Id="rId1" Type="http://schemas.openxmlformats.org/officeDocument/2006/relationships/hyperlink" Target="http://climateactiontracker.org/global.html" TargetMode="External"/><Relationship Id="rId6" Type="http://schemas.openxmlformats.org/officeDocument/2006/relationships/hyperlink" Target="https://www.climatebonds.net/standard/marine" TargetMode="External"/><Relationship Id="rId5" Type="http://schemas.openxmlformats.org/officeDocument/2006/relationships/hyperlink" Target="https://www.marpol-annex-vi.com/eedi-seemp/" TargetMode="External"/><Relationship Id="rId4" Type="http://schemas.openxmlformats.org/officeDocument/2006/relationships/hyperlink" Target="http://www.imo.org/en/OurWork/Environment/PollutionPrevention/AirPollution/Documents/ISWG-GHG%201-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phi\Dropbox%20(MATRANS)\Climate%20Bonds%20Initiative\Working%20folder\CBI%20decarbonisation%20trajecto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phi\Dropbox%20(MATRANS)\Climate%20Bonds%20Initiative\Working%20folder\CBI%20decarbonisation%20trajecto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Global CO2 Intensity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99773487218209"/>
          <c:y val="5.170387779083431E-2"/>
          <c:w val="0.80239952540179049"/>
          <c:h val="0.73958492556233058"/>
        </c:manualLayout>
      </c:layout>
      <c:scatterChart>
        <c:scatterStyle val="lineMarker"/>
        <c:varyColors val="0"/>
        <c:ser>
          <c:idx val="1"/>
          <c:order val="0"/>
          <c:spPr>
            <a:ln w="25400" cap="rnd">
              <a:solidFill>
                <a:srgbClr val="FFC000"/>
              </a:solidFill>
              <a:prstDash val="sysDot"/>
              <a:round/>
            </a:ln>
            <a:effectLst/>
          </c:spPr>
          <c:marker>
            <c:symbol val="circle"/>
            <c:size val="5"/>
            <c:spPr>
              <a:solidFill>
                <a:schemeClr val="accent2"/>
              </a:solidFill>
              <a:ln w="9525">
                <a:solidFill>
                  <a:schemeClr val="accent2"/>
                </a:solidFill>
              </a:ln>
              <a:effectLst/>
            </c:spPr>
          </c:marker>
          <c:xVal>
            <c:numRef>
              <c:f>'indexed trajectory'!$B$16:$C$16</c:f>
              <c:numCache>
                <c:formatCode>General</c:formatCode>
                <c:ptCount val="2"/>
                <c:pt idx="0">
                  <c:v>2008</c:v>
                </c:pt>
                <c:pt idx="1">
                  <c:v>2012</c:v>
                </c:pt>
              </c:numCache>
            </c:numRef>
          </c:xVal>
          <c:yVal>
            <c:numRef>
              <c:f>'indexed trajectory'!$B$17:$C$17</c:f>
              <c:numCache>
                <c:formatCode>0.00</c:formatCode>
                <c:ptCount val="2"/>
                <c:pt idx="0">
                  <c:v>21.967275676191385</c:v>
                </c:pt>
                <c:pt idx="1">
                  <c:v>16.290111329404059</c:v>
                </c:pt>
              </c:numCache>
            </c:numRef>
          </c:yVal>
          <c:smooth val="0"/>
          <c:extLst>
            <c:ext xmlns:c16="http://schemas.microsoft.com/office/drawing/2014/chart" uri="{C3380CC4-5D6E-409C-BE32-E72D297353CC}">
              <c16:uniqueId val="{00000000-813F-4E29-9DDE-8B3FA049B5D4}"/>
            </c:ext>
          </c:extLst>
        </c:ser>
        <c:ser>
          <c:idx val="0"/>
          <c:order val="1"/>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1609671017150254"/>
                  <c:y val="-1.496599646548294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'indexed trajectory'!$C$16:$D$16</c:f>
              <c:numCache>
                <c:formatCode>General</c:formatCode>
                <c:ptCount val="2"/>
                <c:pt idx="0">
                  <c:v>2012</c:v>
                </c:pt>
                <c:pt idx="1">
                  <c:v>2050</c:v>
                </c:pt>
              </c:numCache>
            </c:numRef>
          </c:xVal>
          <c:yVal>
            <c:numRef>
              <c:f>'indexed trajectory'!$C$17:$D$17</c:f>
              <c:numCache>
                <c:formatCode>0.00</c:formatCode>
                <c:ptCount val="2"/>
                <c:pt idx="0">
                  <c:v>16.290111329404059</c:v>
                </c:pt>
                <c:pt idx="1">
                  <c:v>0</c:v>
                </c:pt>
              </c:numCache>
            </c:numRef>
          </c:yVal>
          <c:smooth val="0"/>
          <c:extLst>
            <c:ext xmlns:c16="http://schemas.microsoft.com/office/drawing/2014/chart" uri="{C3380CC4-5D6E-409C-BE32-E72D297353CC}">
              <c16:uniqueId val="{00000002-813F-4E29-9DDE-8B3FA049B5D4}"/>
            </c:ext>
          </c:extLst>
        </c:ser>
        <c:dLbls>
          <c:showLegendKey val="0"/>
          <c:showVal val="0"/>
          <c:showCatName val="0"/>
          <c:showSerName val="0"/>
          <c:showPercent val="0"/>
          <c:showBubbleSize val="0"/>
        </c:dLbls>
        <c:axId val="532524015"/>
        <c:axId val="532615375"/>
        <c:extLst/>
      </c:scatterChart>
      <c:valAx>
        <c:axId val="532524015"/>
        <c:scaling>
          <c:orientation val="minMax"/>
          <c:max val="2055"/>
          <c:min val="200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615375"/>
        <c:crosses val="autoZero"/>
        <c:crossBetween val="midCat"/>
        <c:majorUnit val="5"/>
      </c:valAx>
      <c:valAx>
        <c:axId val="532615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t>
                </a:r>
                <a:r>
                  <a:rPr lang="en-US" baseline="0"/>
                  <a:t>arbon intensity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52401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b="0"/>
              <a:t>Relative Global</a:t>
            </a:r>
            <a:r>
              <a:rPr lang="en-GB" sz="1600" b="0" baseline="0"/>
              <a:t> CO2 Intensity</a:t>
            </a:r>
            <a:endParaRPr lang="en-GB" sz="1600" b="0"/>
          </a:p>
        </c:rich>
      </c:tx>
      <c:overlay val="0"/>
    </c:title>
    <c:autoTitleDeleted val="0"/>
    <c:plotArea>
      <c:layout/>
      <c:scatterChart>
        <c:scatterStyle val="lineMarker"/>
        <c:varyColors val="0"/>
        <c:ser>
          <c:idx val="1"/>
          <c:order val="0"/>
          <c:spPr>
            <a:ln w="25400">
              <a:noFill/>
            </a:ln>
          </c:spPr>
          <c:xVal>
            <c:numRef>
              <c:f>[Book19]Sheet1!$B$20:$C$20</c:f>
              <c:numCache>
                <c:formatCode>General</c:formatCode>
                <c:ptCount val="2"/>
                <c:pt idx="0">
                  <c:v>2012</c:v>
                </c:pt>
                <c:pt idx="1">
                  <c:v>2050</c:v>
                </c:pt>
              </c:numCache>
            </c:numRef>
          </c:xVal>
          <c:yVal>
            <c:numRef>
              <c:f>'indexed trajectory'!$B$20:$C$20</c:f>
              <c:numCache>
                <c:formatCode>0.00</c:formatCode>
                <c:ptCount val="2"/>
                <c:pt idx="0" formatCode="General">
                  <c:v>1</c:v>
                </c:pt>
                <c:pt idx="1">
                  <c:v>0</c:v>
                </c:pt>
              </c:numCache>
            </c:numRef>
          </c:yVal>
          <c:smooth val="0"/>
          <c:extLst>
            <c:ext xmlns:c16="http://schemas.microsoft.com/office/drawing/2014/chart" uri="{C3380CC4-5D6E-409C-BE32-E72D297353CC}">
              <c16:uniqueId val="{00000000-463A-4D5E-A541-DAB68FC4DF22}"/>
            </c:ext>
          </c:extLst>
        </c:ser>
        <c:ser>
          <c:idx val="0"/>
          <c:order val="1"/>
          <c:spPr>
            <a:ln w="25400" cap="rnd">
              <a:noFill/>
              <a:round/>
            </a:ln>
            <a:effectLst/>
          </c:spPr>
          <c:marker>
            <c:symbol val="circle"/>
            <c:size val="5"/>
            <c:spPr>
              <a:solidFill>
                <a:schemeClr val="accent1"/>
              </a:solidFill>
              <a:ln w="9525">
                <a:solidFill>
                  <a:schemeClr val="accent1"/>
                </a:solidFill>
              </a:ln>
              <a:effectLst/>
            </c:spPr>
          </c:marker>
          <c:trendline>
            <c:spPr>
              <a:ln w="25400" cap="rnd">
                <a:solidFill>
                  <a:schemeClr val="accent1"/>
                </a:solidFill>
                <a:prstDash val="solid"/>
              </a:ln>
              <a:effectLst/>
            </c:spPr>
            <c:trendlineType val="linear"/>
            <c:dispRSqr val="0"/>
            <c:dispEq val="1"/>
            <c:trendlineLbl>
              <c:layout>
                <c:manualLayout>
                  <c:x val="-4.4908792650918683E-2"/>
                  <c:y val="3.9847623213764942E-3"/>
                </c:manualLayout>
              </c:layout>
              <c:numFmt formatCode="General"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rendlineLbl>
          </c:trendline>
          <c:xVal>
            <c:numRef>
              <c:f>[Book19]Sheet1!$B$20:$C$20</c:f>
              <c:numCache>
                <c:formatCode>General</c:formatCode>
                <c:ptCount val="2"/>
                <c:pt idx="0">
                  <c:v>2012</c:v>
                </c:pt>
                <c:pt idx="1">
                  <c:v>2050</c:v>
                </c:pt>
              </c:numCache>
            </c:numRef>
          </c:xVal>
          <c:yVal>
            <c:numRef>
              <c:f>'indexed trajectory'!$B$20:$C$20</c:f>
              <c:numCache>
                <c:formatCode>0.00</c:formatCode>
                <c:ptCount val="2"/>
                <c:pt idx="0" formatCode="General">
                  <c:v>1</c:v>
                </c:pt>
                <c:pt idx="1">
                  <c:v>0</c:v>
                </c:pt>
              </c:numCache>
            </c:numRef>
          </c:yVal>
          <c:smooth val="0"/>
          <c:extLst>
            <c:ext xmlns:c16="http://schemas.microsoft.com/office/drawing/2014/chart" uri="{C3380CC4-5D6E-409C-BE32-E72D297353CC}">
              <c16:uniqueId val="{00000002-463A-4D5E-A541-DAB68FC4DF22}"/>
            </c:ext>
          </c:extLst>
        </c:ser>
        <c:dLbls>
          <c:showLegendKey val="0"/>
          <c:showVal val="0"/>
          <c:showCatName val="0"/>
          <c:showSerName val="0"/>
          <c:showPercent val="0"/>
          <c:showBubbleSize val="0"/>
        </c:dLbls>
        <c:axId val="532524015"/>
        <c:axId val="532615375"/>
      </c:scatterChart>
      <c:valAx>
        <c:axId val="53252401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615375"/>
        <c:crosses val="autoZero"/>
        <c:crossBetween val="midCat"/>
      </c:valAx>
      <c:valAx>
        <c:axId val="5326153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t>
                </a:r>
                <a:r>
                  <a:rPr lang="en-US" baseline="0"/>
                  <a:t>arbon intensity indexed 1=2012</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524015"/>
        <c:crosses val="autoZero"/>
        <c:crossBetween val="midCat"/>
      </c:valAx>
    </c:plotArea>
    <c:plotVisOnly val="1"/>
    <c:dispBlanksAs val="gap"/>
    <c:showDLblsOverMax val="0"/>
    <c:extLst/>
  </c:chart>
  <c:spPr>
    <a:ln>
      <a:noFill/>
    </a:ln>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QIaUY1FVvMCWweLqQzB1+OfMeQ==">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19790</Words>
  <Characters>112803</Characters>
  <Application>Microsoft Office Word</Application>
  <DocSecurity>0</DocSecurity>
  <Lines>940</Lines>
  <Paragraphs>264</Paragraphs>
  <ScaleCrop>false</ScaleCrop>
  <Company/>
  <LinksUpToDate>false</LinksUpToDate>
  <CharactersWithSpaces>132329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Mok</dc:creator>
  <cp:lastModifiedBy>Lionel Mok</cp:lastModifiedBy>
  <cp:revision>5</cp:revision>
  <dcterms:created xsi:type="dcterms:W3CDTF">2020-10-25T07:37:00Z</dcterms:created>
  <dcterms:modified xsi:type="dcterms:W3CDTF">2020-10-25T07:39:00Z</dcterms:modified>
</cp:coreProperties>
</file>