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239"/>
        <w:tblW w:w="10364" w:type="dxa"/>
        <w:tblBorders>
          <w:top w:val="single" w:sz="4" w:space="0" w:color="3068A5"/>
          <w:left w:val="single" w:sz="4" w:space="0" w:color="3068A5"/>
          <w:bottom w:val="single" w:sz="4" w:space="0" w:color="3068A5"/>
          <w:right w:val="single" w:sz="4" w:space="0" w:color="3068A5"/>
          <w:insideH w:val="single" w:sz="4" w:space="0" w:color="3068A5"/>
          <w:insideV w:val="single" w:sz="4" w:space="0" w:color="3068A5"/>
        </w:tblBorders>
        <w:tblLook w:val="04A0" w:firstRow="1" w:lastRow="0" w:firstColumn="1" w:lastColumn="0" w:noHBand="0" w:noVBand="1"/>
      </w:tblPr>
      <w:tblGrid>
        <w:gridCol w:w="2405"/>
        <w:gridCol w:w="2525"/>
        <w:gridCol w:w="52"/>
        <w:gridCol w:w="2663"/>
        <w:gridCol w:w="2719"/>
      </w:tblGrid>
      <w:tr w:rsidR="00DC660B" w:rsidRPr="00881926" w14:paraId="17F81FA2" w14:textId="77777777" w:rsidTr="00E07C2E">
        <w:trPr>
          <w:trHeight w:val="555"/>
        </w:trPr>
        <w:tc>
          <w:tcPr>
            <w:tcW w:w="10364" w:type="dxa"/>
            <w:gridSpan w:val="5"/>
            <w:shd w:val="clear" w:color="auto" w:fill="3068A5"/>
          </w:tcPr>
          <w:p w14:paraId="76E3B087" w14:textId="126B6818" w:rsidR="00DC660B" w:rsidRPr="00881926" w:rsidRDefault="00DC660B" w:rsidP="00E07C2E">
            <w:pPr>
              <w:spacing w:before="120" w:after="120"/>
              <w:rPr>
                <w:b/>
                <w:sz w:val="28"/>
                <w:szCs w:val="28"/>
              </w:rPr>
            </w:pPr>
            <w:bookmarkStart w:id="0" w:name="_Hlk509502402"/>
            <w:r w:rsidRPr="00531DF9">
              <w:rPr>
                <w:b/>
                <w:noProof/>
                <w:color w:val="FFFFFF" w:themeColor="background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0D5C6" wp14:editId="7195C63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-687705</wp:posOffset>
                      </wp:positionV>
                      <wp:extent cx="6629400" cy="3581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940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9F975" w14:textId="77777777" w:rsidR="00DC660B" w:rsidRPr="00A76CE2" w:rsidRDefault="00DC660B" w:rsidP="00DC660B">
                                  <w:pPr>
                                    <w:spacing w:after="0"/>
                                    <w:rPr>
                                      <w:b/>
                                      <w:color w:val="3068A5"/>
                                      <w:sz w:val="32"/>
                                      <w:szCs w:val="32"/>
                                    </w:rPr>
                                  </w:pPr>
                                  <w:r w:rsidRPr="00A76CE2">
                                    <w:rPr>
                                      <w:b/>
                                      <w:color w:val="3068A5"/>
                                      <w:sz w:val="32"/>
                                      <w:szCs w:val="32"/>
                                    </w:rPr>
                                    <w:t xml:space="preserve">Green Bond </w:t>
                                  </w:r>
                                  <w:r>
                                    <w:rPr>
                                      <w:b/>
                                      <w:color w:val="3068A5"/>
                                      <w:sz w:val="32"/>
                                      <w:szCs w:val="32"/>
                                    </w:rPr>
                                    <w:t>Fact</w:t>
                                  </w:r>
                                  <w:r w:rsidRPr="00A76CE2">
                                    <w:rPr>
                                      <w:b/>
                                      <w:color w:val="3068A5"/>
                                      <w:sz w:val="32"/>
                                      <w:szCs w:val="32"/>
                                    </w:rPr>
                                    <w:t xml:space="preserve"> Sheet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0D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65pt;margin-top:-54.15pt;width:52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" fillcolor="white [3201]" stroked="f" strokeweight=".5pt">
                      <v:textbox>
                        <w:txbxContent>
                          <w:p w14:paraId="1EF9F975" w14:textId="77777777" w:rsidR="00DC660B" w:rsidRPr="00A76CE2" w:rsidRDefault="00DC660B" w:rsidP="00DC660B">
                            <w:pPr>
                              <w:spacing w:after="0"/>
                              <w:rPr>
                                <w:b/>
                                <w:color w:val="3068A5"/>
                                <w:sz w:val="32"/>
                                <w:szCs w:val="32"/>
                              </w:rPr>
                            </w:pPr>
                            <w:r w:rsidRPr="00A76CE2">
                              <w:rPr>
                                <w:b/>
                                <w:color w:val="3068A5"/>
                                <w:sz w:val="32"/>
                                <w:szCs w:val="32"/>
                              </w:rPr>
                              <w:t xml:space="preserve">Green Bond </w:t>
                            </w:r>
                            <w:r>
                              <w:rPr>
                                <w:b/>
                                <w:color w:val="3068A5"/>
                                <w:sz w:val="32"/>
                                <w:szCs w:val="32"/>
                              </w:rPr>
                              <w:t>Fact</w:t>
                            </w:r>
                            <w:r w:rsidRPr="00A76CE2">
                              <w:rPr>
                                <w:b/>
                                <w:color w:val="3068A5"/>
                                <w:sz w:val="32"/>
                                <w:szCs w:val="32"/>
                              </w:rPr>
                              <w:t xml:space="preserve">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A97">
              <w:rPr>
                <w:b/>
                <w:color w:val="FFFFFF" w:themeColor="background1"/>
                <w:sz w:val="28"/>
                <w:szCs w:val="28"/>
              </w:rPr>
              <w:t>Hong Kong S</w:t>
            </w:r>
            <w:r w:rsidR="00555E13">
              <w:rPr>
                <w:b/>
                <w:color w:val="FFFFFF" w:themeColor="background1"/>
                <w:sz w:val="28"/>
                <w:szCs w:val="28"/>
              </w:rPr>
              <w:t xml:space="preserve">pecial Administrative Region </w:t>
            </w:r>
            <w:r w:rsidR="007D3049">
              <w:rPr>
                <w:b/>
                <w:color w:val="FFFFFF" w:themeColor="background1"/>
                <w:sz w:val="28"/>
                <w:szCs w:val="28"/>
              </w:rPr>
              <w:t xml:space="preserve">                                          </w:t>
            </w:r>
            <w:r w:rsidRPr="007A098C">
              <w:rPr>
                <w:b/>
                <w:color w:val="FFFFFF" w:themeColor="background1"/>
                <w:sz w:val="28"/>
                <w:szCs w:val="28"/>
              </w:rPr>
              <w:t xml:space="preserve">Date: </w:t>
            </w:r>
            <w:r w:rsidR="00A81120">
              <w:rPr>
                <w:b/>
                <w:color w:val="FFFFFF" w:themeColor="background1"/>
                <w:sz w:val="28"/>
                <w:szCs w:val="28"/>
              </w:rPr>
              <w:t>05/06/</w:t>
            </w:r>
            <w:r w:rsidR="00967A97">
              <w:rPr>
                <w:b/>
                <w:color w:val="FFFFFF" w:themeColor="background1"/>
                <w:sz w:val="28"/>
                <w:szCs w:val="28"/>
              </w:rPr>
              <w:t>2019</w:t>
            </w:r>
            <w:r>
              <w:rPr>
                <w:b/>
                <w:color w:val="FFFFFF" w:themeColor="background1"/>
                <w:sz w:val="28"/>
                <w:szCs w:val="28"/>
              </w:rPr>
              <w:br/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Issue date: </w:t>
            </w:r>
            <w:r w:rsidR="00967A97">
              <w:rPr>
                <w:b/>
                <w:color w:val="FFFFFF" w:themeColor="background1"/>
                <w:sz w:val="24"/>
                <w:szCs w:val="24"/>
              </w:rPr>
              <w:t>28</w:t>
            </w:r>
            <w:r w:rsidR="00A81120">
              <w:rPr>
                <w:b/>
                <w:color w:val="FFFFFF" w:themeColor="background1"/>
                <w:sz w:val="24"/>
                <w:szCs w:val="24"/>
              </w:rPr>
              <w:t>-05-</w:t>
            </w:r>
            <w:r w:rsidR="00967A97">
              <w:rPr>
                <w:b/>
                <w:color w:val="FFFFFF" w:themeColor="background1"/>
                <w:sz w:val="24"/>
                <w:szCs w:val="24"/>
              </w:rPr>
              <w:t>2019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Maturity date: </w:t>
            </w:r>
            <w:r w:rsidR="007F560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F671C">
              <w:rPr>
                <w:b/>
                <w:color w:val="FFFFFF" w:themeColor="background1"/>
                <w:sz w:val="24"/>
                <w:szCs w:val="24"/>
              </w:rPr>
              <w:t>28</w:t>
            </w:r>
            <w:r w:rsidR="007F5601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="00FF671C">
              <w:rPr>
                <w:b/>
                <w:color w:val="FFFFFF" w:themeColor="background1"/>
                <w:sz w:val="24"/>
                <w:szCs w:val="24"/>
              </w:rPr>
              <w:t>05</w:t>
            </w:r>
            <w:r w:rsidR="007F5601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="00FF671C">
              <w:rPr>
                <w:b/>
                <w:color w:val="FFFFFF" w:themeColor="background1"/>
                <w:sz w:val="24"/>
                <w:szCs w:val="24"/>
              </w:rPr>
              <w:t>2024</w:t>
            </w:r>
            <w:r w:rsidR="007F5601"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Tenor: </w:t>
            </w:r>
            <w:r w:rsidR="00967A97">
              <w:rPr>
                <w:b/>
                <w:color w:val="FFFFFF" w:themeColor="background1"/>
                <w:sz w:val="24"/>
                <w:szCs w:val="24"/>
              </w:rPr>
              <w:t xml:space="preserve">5 </w:t>
            </w:r>
          </w:p>
        </w:tc>
      </w:tr>
      <w:tr w:rsidR="00DC660B" w:rsidRPr="00E03AFE" w14:paraId="5BC5BFD4" w14:textId="77777777" w:rsidTr="00E07C2E">
        <w:trPr>
          <w:trHeight w:val="536"/>
        </w:trPr>
        <w:tc>
          <w:tcPr>
            <w:tcW w:w="2405" w:type="dxa"/>
            <w:shd w:val="clear" w:color="auto" w:fill="5C93D0"/>
          </w:tcPr>
          <w:p w14:paraId="24E2559B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Issuer Name</w:t>
            </w:r>
          </w:p>
        </w:tc>
        <w:tc>
          <w:tcPr>
            <w:tcW w:w="2525" w:type="dxa"/>
          </w:tcPr>
          <w:p w14:paraId="19FAE74A" w14:textId="6186BAD1" w:rsidR="00DC660B" w:rsidRPr="00E03AFE" w:rsidRDefault="00555E13" w:rsidP="00E07C2E">
            <w:pPr>
              <w:spacing w:before="120" w:after="120"/>
            </w:pPr>
            <w:r w:rsidRPr="00555E13">
              <w:t>Hong Kong Special Administrative Region</w:t>
            </w:r>
          </w:p>
        </w:tc>
        <w:tc>
          <w:tcPr>
            <w:tcW w:w="2715" w:type="dxa"/>
            <w:gridSpan w:val="2"/>
            <w:shd w:val="clear" w:color="auto" w:fill="5B9BD5" w:themeFill="accent5"/>
          </w:tcPr>
          <w:p w14:paraId="4987BC67" w14:textId="77777777" w:rsidR="00DC660B" w:rsidRPr="00A02C23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02C23">
              <w:rPr>
                <w:b/>
                <w:bCs/>
                <w:color w:val="FFFFFF" w:themeColor="background1"/>
              </w:rPr>
              <w:t>Amount Issued</w:t>
            </w:r>
          </w:p>
        </w:tc>
        <w:tc>
          <w:tcPr>
            <w:tcW w:w="2719" w:type="dxa"/>
          </w:tcPr>
          <w:p w14:paraId="77538FEF" w14:textId="1E9F8906" w:rsidR="00DC660B" w:rsidRPr="00E03AFE" w:rsidRDefault="00967A97" w:rsidP="00E07C2E">
            <w:pPr>
              <w:spacing w:before="120" w:after="120"/>
            </w:pPr>
            <w:r>
              <w:t>USD</w:t>
            </w:r>
            <w:r w:rsidR="001A492B">
              <w:t>1bn</w:t>
            </w:r>
          </w:p>
        </w:tc>
      </w:tr>
      <w:tr w:rsidR="00DC660B" w:rsidRPr="00881926" w14:paraId="436BC818" w14:textId="77777777" w:rsidTr="00E07C2E">
        <w:trPr>
          <w:trHeight w:val="536"/>
        </w:trPr>
        <w:tc>
          <w:tcPr>
            <w:tcW w:w="2405" w:type="dxa"/>
            <w:shd w:val="clear" w:color="auto" w:fill="5C93D0"/>
          </w:tcPr>
          <w:p w14:paraId="4C5D1988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Country of risk</w:t>
            </w:r>
          </w:p>
        </w:tc>
        <w:tc>
          <w:tcPr>
            <w:tcW w:w="2525" w:type="dxa"/>
          </w:tcPr>
          <w:p w14:paraId="2AA9575D" w14:textId="5BB3EA75" w:rsidR="00DC660B" w:rsidRPr="0074505D" w:rsidRDefault="00967A97" w:rsidP="00E07C2E">
            <w:pPr>
              <w:spacing w:before="120" w:after="120"/>
            </w:pPr>
            <w:r>
              <w:t>China</w:t>
            </w:r>
          </w:p>
        </w:tc>
        <w:tc>
          <w:tcPr>
            <w:tcW w:w="2715" w:type="dxa"/>
            <w:gridSpan w:val="2"/>
            <w:shd w:val="clear" w:color="auto" w:fill="5B9BD5" w:themeFill="accent5"/>
          </w:tcPr>
          <w:p w14:paraId="3D896646" w14:textId="77777777" w:rsidR="00DC660B" w:rsidRPr="00A02C23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02C23">
              <w:rPr>
                <w:b/>
                <w:bCs/>
                <w:color w:val="FFFFFF" w:themeColor="background1"/>
              </w:rPr>
              <w:t>CBI Database</w:t>
            </w:r>
          </w:p>
        </w:tc>
        <w:tc>
          <w:tcPr>
            <w:tcW w:w="2719" w:type="dxa"/>
          </w:tcPr>
          <w:p w14:paraId="5B255CF3" w14:textId="77777777" w:rsidR="00DC660B" w:rsidRPr="00881926" w:rsidRDefault="00DC660B" w:rsidP="00E07C2E">
            <w:pPr>
              <w:spacing w:before="120" w:after="120"/>
            </w:pPr>
            <w:r>
              <w:t>Included</w:t>
            </w:r>
          </w:p>
        </w:tc>
      </w:tr>
      <w:tr w:rsidR="00DC660B" w:rsidRPr="004038DD" w14:paraId="2F9BAAEA" w14:textId="77777777" w:rsidTr="00E07C2E">
        <w:trPr>
          <w:trHeight w:val="536"/>
        </w:trPr>
        <w:tc>
          <w:tcPr>
            <w:tcW w:w="2405" w:type="dxa"/>
            <w:shd w:val="clear" w:color="auto" w:fill="5C93D0"/>
          </w:tcPr>
          <w:p w14:paraId="18E81730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Issuer Type</w:t>
            </w:r>
            <w:r w:rsidRPr="00A67303">
              <w:rPr>
                <w:b/>
                <w:bCs/>
                <w:color w:val="FFFFFF" w:themeColor="background1"/>
                <w:vertAlign w:val="superscript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14:paraId="1ACE5771" w14:textId="03BAE1C4" w:rsidR="00DC660B" w:rsidRPr="00E03AFE" w:rsidRDefault="00967A97" w:rsidP="00E07C2E">
            <w:pPr>
              <w:spacing w:before="120" w:after="120"/>
            </w:pPr>
            <w:r>
              <w:t>Sovereign</w:t>
            </w:r>
          </w:p>
        </w:tc>
        <w:tc>
          <w:tcPr>
            <w:tcW w:w="2715" w:type="dxa"/>
            <w:gridSpan w:val="2"/>
            <w:shd w:val="clear" w:color="auto" w:fill="5B9BD5" w:themeFill="accent5"/>
          </w:tcPr>
          <w:p w14:paraId="78FD5D11" w14:textId="77777777" w:rsidR="00DC660B" w:rsidRPr="00A02C23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02C23">
              <w:rPr>
                <w:b/>
                <w:bCs/>
                <w:color w:val="FFFFFF" w:themeColor="background1"/>
              </w:rPr>
              <w:t>Bond Type</w:t>
            </w:r>
          </w:p>
        </w:tc>
        <w:tc>
          <w:tcPr>
            <w:tcW w:w="2719" w:type="dxa"/>
          </w:tcPr>
          <w:p w14:paraId="2AE85F45" w14:textId="371790F5" w:rsidR="00DC660B" w:rsidRPr="004038DD" w:rsidRDefault="00917E0A" w:rsidP="00E07C2E">
            <w:pPr>
              <w:spacing w:before="120" w:after="120"/>
            </w:pPr>
            <w:r>
              <w:t>Senior unsecured</w:t>
            </w:r>
          </w:p>
        </w:tc>
      </w:tr>
      <w:tr w:rsidR="00DC660B" w:rsidRPr="004038DD" w14:paraId="0BD2FE50" w14:textId="77777777" w:rsidTr="00E07C2E">
        <w:trPr>
          <w:trHeight w:val="273"/>
        </w:trPr>
        <w:tc>
          <w:tcPr>
            <w:tcW w:w="2405" w:type="dxa"/>
            <w:shd w:val="clear" w:color="auto" w:fill="5C93D0"/>
          </w:tcPr>
          <w:p w14:paraId="01F8AC7A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Green Bond Framework</w:t>
            </w:r>
          </w:p>
        </w:tc>
        <w:tc>
          <w:tcPr>
            <w:tcW w:w="2525" w:type="dxa"/>
            <w:shd w:val="clear" w:color="auto" w:fill="auto"/>
          </w:tcPr>
          <w:p w14:paraId="3BFD7327" w14:textId="39E36D83" w:rsidR="00DC660B" w:rsidRPr="00F709CD" w:rsidRDefault="00657001" w:rsidP="00E07C2E">
            <w:pPr>
              <w:spacing w:before="120" w:after="120"/>
              <w:rPr>
                <w:i/>
                <w:iCs/>
                <w:noProof/>
                <w:color w:val="0000FF"/>
                <w:u w:val="single"/>
              </w:rPr>
            </w:pPr>
            <w:hyperlink r:id="rId7" w:history="1">
              <w:r w:rsidR="00F709CD" w:rsidRPr="00F709CD">
                <w:rPr>
                  <w:rStyle w:val="Hyperlink"/>
                  <w:i/>
                  <w:iCs/>
                  <w:noProof/>
                </w:rPr>
                <w:t>Link to</w:t>
              </w:r>
              <w:r w:rsidR="00DD6B00" w:rsidRPr="00F709CD">
                <w:rPr>
                  <w:rStyle w:val="Hyperlink"/>
                  <w:i/>
                  <w:iCs/>
                  <w:noProof/>
                </w:rPr>
                <w:t xml:space="preserve"> Framework</w:t>
              </w:r>
            </w:hyperlink>
          </w:p>
        </w:tc>
        <w:tc>
          <w:tcPr>
            <w:tcW w:w="2715" w:type="dxa"/>
            <w:gridSpan w:val="2"/>
            <w:shd w:val="clear" w:color="auto" w:fill="5B9BD5" w:themeFill="accent5"/>
          </w:tcPr>
          <w:p w14:paraId="053766CE" w14:textId="77777777" w:rsidR="00DC660B" w:rsidRPr="00A02C23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02C23">
              <w:rPr>
                <w:b/>
                <w:bCs/>
                <w:color w:val="FFFFFF" w:themeColor="background1"/>
              </w:rPr>
              <w:t>Second party opinion</w:t>
            </w:r>
          </w:p>
        </w:tc>
        <w:tc>
          <w:tcPr>
            <w:tcW w:w="2719" w:type="dxa"/>
          </w:tcPr>
          <w:p w14:paraId="396FA9D4" w14:textId="667B8044" w:rsidR="00DC660B" w:rsidRPr="004038DD" w:rsidRDefault="00657001" w:rsidP="00E07C2E">
            <w:pPr>
              <w:spacing w:before="120" w:after="120"/>
            </w:pPr>
            <w:hyperlink r:id="rId8" w:history="1">
              <w:proofErr w:type="spellStart"/>
              <w:r w:rsidR="00DD6B00" w:rsidRPr="00DD6B00">
                <w:rPr>
                  <w:rStyle w:val="Hyperlink"/>
                </w:rPr>
                <w:t>Vigeo</w:t>
              </w:r>
              <w:proofErr w:type="spellEnd"/>
              <w:r w:rsidR="00DD6B00" w:rsidRPr="00DD6B00">
                <w:rPr>
                  <w:rStyle w:val="Hyperlink"/>
                </w:rPr>
                <w:t xml:space="preserve"> </w:t>
              </w:r>
              <w:proofErr w:type="spellStart"/>
              <w:r w:rsidR="00DD6B00" w:rsidRPr="00DD6B00">
                <w:rPr>
                  <w:rStyle w:val="Hyperlink"/>
                </w:rPr>
                <w:t>Eiris</w:t>
              </w:r>
              <w:proofErr w:type="spellEnd"/>
            </w:hyperlink>
          </w:p>
        </w:tc>
      </w:tr>
      <w:tr w:rsidR="00DC660B" w:rsidRPr="004038DD" w14:paraId="12D603AD" w14:textId="77777777" w:rsidTr="00E07C2E">
        <w:trPr>
          <w:trHeight w:val="273"/>
        </w:trPr>
        <w:tc>
          <w:tcPr>
            <w:tcW w:w="2405" w:type="dxa"/>
            <w:shd w:val="clear" w:color="auto" w:fill="5C93D0"/>
          </w:tcPr>
          <w:p w14:paraId="387303CD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Certification Standard</w:t>
            </w:r>
          </w:p>
        </w:tc>
        <w:tc>
          <w:tcPr>
            <w:tcW w:w="2525" w:type="dxa"/>
          </w:tcPr>
          <w:p w14:paraId="2F65A6EA" w14:textId="2CD76915" w:rsidR="00DC660B" w:rsidRPr="004038DD" w:rsidRDefault="007F5601" w:rsidP="00E07C2E">
            <w:pPr>
              <w:spacing w:before="120" w:after="120"/>
            </w:pPr>
            <w:r>
              <w:t>N/A</w:t>
            </w:r>
          </w:p>
        </w:tc>
        <w:tc>
          <w:tcPr>
            <w:tcW w:w="2715" w:type="dxa"/>
            <w:gridSpan w:val="2"/>
            <w:shd w:val="clear" w:color="auto" w:fill="5B9BD5" w:themeFill="accent5"/>
          </w:tcPr>
          <w:p w14:paraId="69C137DF" w14:textId="77777777" w:rsidR="00DC660B" w:rsidRPr="00A02C23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02C23">
              <w:rPr>
                <w:b/>
                <w:bCs/>
                <w:color w:val="FFFFFF" w:themeColor="background1"/>
              </w:rPr>
              <w:t>Assurance report</w:t>
            </w:r>
          </w:p>
        </w:tc>
        <w:tc>
          <w:tcPr>
            <w:tcW w:w="2719" w:type="dxa"/>
          </w:tcPr>
          <w:p w14:paraId="34895030" w14:textId="77777777" w:rsidR="00DC660B" w:rsidRPr="004038DD" w:rsidRDefault="00DC660B" w:rsidP="00E07C2E">
            <w:pPr>
              <w:spacing w:before="120" w:after="120"/>
            </w:pPr>
            <w:r>
              <w:t>N/A</w:t>
            </w:r>
          </w:p>
        </w:tc>
      </w:tr>
      <w:tr w:rsidR="00DC660B" w:rsidRPr="004038DD" w14:paraId="05090636" w14:textId="77777777" w:rsidTr="00E07C2E">
        <w:trPr>
          <w:trHeight w:val="273"/>
        </w:trPr>
        <w:tc>
          <w:tcPr>
            <w:tcW w:w="2405" w:type="dxa"/>
            <w:shd w:val="clear" w:color="auto" w:fill="5C93D0"/>
          </w:tcPr>
          <w:p w14:paraId="3757CD34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Certification Verifier</w:t>
            </w:r>
          </w:p>
        </w:tc>
        <w:tc>
          <w:tcPr>
            <w:tcW w:w="2525" w:type="dxa"/>
          </w:tcPr>
          <w:p w14:paraId="3E681710" w14:textId="49D5D6F4" w:rsidR="00DC660B" w:rsidRPr="004038DD" w:rsidRDefault="003D5C3E" w:rsidP="00E07C2E">
            <w:pPr>
              <w:spacing w:before="120" w:after="120"/>
            </w:pPr>
            <w:r>
              <w:t>N/A</w:t>
            </w:r>
          </w:p>
        </w:tc>
        <w:tc>
          <w:tcPr>
            <w:tcW w:w="2715" w:type="dxa"/>
            <w:gridSpan w:val="2"/>
            <w:shd w:val="clear" w:color="auto" w:fill="5B9BD5" w:themeFill="accent5"/>
          </w:tcPr>
          <w:p w14:paraId="3A498C1E" w14:textId="77777777" w:rsidR="00DC660B" w:rsidRPr="00A02C23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A02C23">
              <w:rPr>
                <w:b/>
                <w:bCs/>
                <w:color w:val="FFFFFF" w:themeColor="background1"/>
              </w:rPr>
              <w:t>Green bond rating</w:t>
            </w:r>
          </w:p>
        </w:tc>
        <w:tc>
          <w:tcPr>
            <w:tcW w:w="2719" w:type="dxa"/>
          </w:tcPr>
          <w:p w14:paraId="3291236E" w14:textId="77777777" w:rsidR="00DC660B" w:rsidRPr="004038DD" w:rsidRDefault="00DC660B" w:rsidP="00E07C2E">
            <w:pPr>
              <w:spacing w:before="120" w:after="120"/>
            </w:pPr>
            <w:r>
              <w:t>N/A</w:t>
            </w:r>
          </w:p>
        </w:tc>
      </w:tr>
      <w:tr w:rsidR="00DC660B" w:rsidRPr="00C750F6" w14:paraId="1E218C74" w14:textId="77777777" w:rsidTr="00E07C2E">
        <w:trPr>
          <w:trHeight w:val="395"/>
        </w:trPr>
        <w:tc>
          <w:tcPr>
            <w:tcW w:w="10364" w:type="dxa"/>
            <w:gridSpan w:val="5"/>
            <w:shd w:val="clear" w:color="auto" w:fill="3068A5"/>
          </w:tcPr>
          <w:p w14:paraId="463FF186" w14:textId="77777777" w:rsidR="00DC660B" w:rsidRPr="00C750F6" w:rsidRDefault="00DC660B" w:rsidP="00E07C2E">
            <w:pPr>
              <w:spacing w:before="120" w:after="120"/>
              <w:rPr>
                <w:b/>
              </w:rPr>
            </w:pPr>
            <w:r w:rsidRPr="00C750F6">
              <w:rPr>
                <w:b/>
                <w:color w:val="FFFFFF" w:themeColor="background1"/>
              </w:rPr>
              <w:t>Use of Proceeds</w:t>
            </w:r>
          </w:p>
        </w:tc>
      </w:tr>
      <w:tr w:rsidR="00DC660B" w:rsidRPr="00E03AFE" w14:paraId="7CBE0BFC" w14:textId="77777777" w:rsidTr="00E07C2E">
        <w:trPr>
          <w:trHeight w:val="1334"/>
        </w:trPr>
        <w:tc>
          <w:tcPr>
            <w:tcW w:w="2405" w:type="dxa"/>
            <w:shd w:val="clear" w:color="auto" w:fill="5B9BD5" w:themeFill="accent5"/>
          </w:tcPr>
          <w:p w14:paraId="081611C4" w14:textId="5CA6BC13" w:rsidR="00DC660B" w:rsidRPr="00B53D81" w:rsidRDefault="00657001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8968115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00">
                  <w:rPr>
                    <w:rFonts w:ascii="MS Gothic" w:eastAsia="MS Gothic" w:hAnsi="MS Gothic" w:hint="eastAsia"/>
                    <w:color w:val="FFFFFF" w:themeColor="background1"/>
                  </w:rPr>
                  <w:t>☒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Energy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51B43497" w14:textId="0B7053F7" w:rsidR="00DC660B" w:rsidRDefault="00657001" w:rsidP="00E07C2E">
            <w:pPr>
              <w:spacing w:before="120" w:after="120"/>
            </w:pPr>
            <w:sdt>
              <w:sdtPr>
                <w:id w:val="-1073042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B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</w:t>
            </w:r>
            <w:r w:rsidR="00DC660B" w:rsidRPr="00E03AFE">
              <w:t>Solar</w:t>
            </w:r>
            <w:r w:rsidR="00DC660B">
              <w:br/>
            </w:r>
            <w:sdt>
              <w:sdtPr>
                <w:id w:val="963932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B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Onshore wind</w:t>
            </w:r>
            <w:r w:rsidR="00DC660B">
              <w:br/>
            </w:r>
            <w:sdt>
              <w:sdtPr>
                <w:id w:val="59606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Offshore wind</w:t>
            </w:r>
            <w:r w:rsidR="00DC660B">
              <w:br/>
            </w:r>
            <w:sdt>
              <w:sdtPr>
                <w:id w:val="91560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Geothermal</w:t>
            </w:r>
            <w:r w:rsidR="00DC660B">
              <w:br/>
            </w:r>
            <w:sdt>
              <w:sdtPr>
                <w:id w:val="-261070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B0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Hydro</w:t>
            </w:r>
            <w:r w:rsidR="00DC660B">
              <w:br/>
            </w:r>
            <w:sdt>
              <w:sdtPr>
                <w:id w:val="10140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Tidal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09525B07" w14:textId="50C03C7F" w:rsidR="00DC660B" w:rsidRPr="00E03AFE" w:rsidRDefault="00657001" w:rsidP="00E07C2E">
            <w:pPr>
              <w:spacing w:before="120" w:after="120"/>
            </w:pPr>
            <w:sdt>
              <w:sdtPr>
                <w:id w:val="-64751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 xml:space="preserve">Biofuels </w:t>
            </w:r>
            <w:r w:rsidR="00DC660B">
              <w:br/>
            </w:r>
            <w:sdt>
              <w:sdtPr>
                <w:id w:val="11487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Bioenergy</w:t>
            </w:r>
            <w:r w:rsidR="00DC660B">
              <w:br/>
            </w:r>
            <w:sdt>
              <w:sdtPr>
                <w:id w:val="-10346505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 w:rsidRPr="00E03AFE">
              <w:t xml:space="preserve"> </w:t>
            </w:r>
            <w:r w:rsidR="00DC660B">
              <w:t>Waste to energy</w:t>
            </w:r>
            <w:r w:rsidR="00DC660B">
              <w:br/>
            </w:r>
            <w:sdt>
              <w:sdtPr>
                <w:id w:val="-450253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 w:rsidRPr="00E03AFE">
              <w:t xml:space="preserve"> </w:t>
            </w:r>
            <w:r w:rsidR="00DC660B">
              <w:t>District heating</w:t>
            </w:r>
            <w:r w:rsidR="00DC660B">
              <w:br/>
            </w:r>
            <w:sdt>
              <w:sdtPr>
                <w:id w:val="1962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Electricity grid</w:t>
            </w:r>
          </w:p>
        </w:tc>
        <w:tc>
          <w:tcPr>
            <w:tcW w:w="2719" w:type="dxa"/>
            <w:tcBorders>
              <w:left w:val="nil"/>
            </w:tcBorders>
          </w:tcPr>
          <w:p w14:paraId="377ACAAC" w14:textId="3300A061" w:rsidR="00DC660B" w:rsidRPr="00E03AFE" w:rsidRDefault="00657001" w:rsidP="00E07C2E">
            <w:pPr>
              <w:spacing w:before="120" w:after="120"/>
            </w:pPr>
            <w:sdt>
              <w:sdtPr>
                <w:id w:val="-157796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 storage</w:t>
            </w:r>
            <w:r w:rsidR="00DC660B">
              <w:br/>
            </w:r>
            <w:sdt>
              <w:sdtPr>
                <w:id w:val="3486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3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 performance</w:t>
            </w:r>
            <w:r w:rsidR="00DC660B">
              <w:br/>
            </w:r>
            <w:sdt>
              <w:sdtPr>
                <w:id w:val="12708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Infrastructure</w:t>
            </w:r>
            <w:r w:rsidR="00DC660B">
              <w:br/>
            </w:r>
            <w:sdt>
              <w:sdtPr>
                <w:id w:val="-9824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Industry: components</w:t>
            </w:r>
            <w:r w:rsidR="00DC660B">
              <w:br/>
            </w:r>
            <w:sdt>
              <w:sdtPr>
                <w:id w:val="-155832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Adaptation &amp;</w:t>
            </w:r>
            <w:r w:rsidR="00DC660B">
              <w:rPr>
                <w:color w:val="000000" w:themeColor="text1"/>
                <w:highlight w:val="lightGray"/>
              </w:rPr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resilience</w:t>
            </w:r>
          </w:p>
        </w:tc>
      </w:tr>
      <w:tr w:rsidR="00DC660B" w:rsidRPr="00E03AFE" w14:paraId="093CD6B9" w14:textId="77777777" w:rsidTr="00E07C2E">
        <w:trPr>
          <w:trHeight w:val="502"/>
        </w:trPr>
        <w:tc>
          <w:tcPr>
            <w:tcW w:w="2405" w:type="dxa"/>
            <w:shd w:val="clear" w:color="auto" w:fill="5B9BD5" w:themeFill="accent5"/>
          </w:tcPr>
          <w:p w14:paraId="21DECB25" w14:textId="33A1A95D" w:rsidR="00DC660B" w:rsidRPr="00C750F6" w:rsidRDefault="00657001" w:rsidP="00E07C2E">
            <w:pPr>
              <w:spacing w:before="120" w:after="1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1181751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00">
                  <w:rPr>
                    <w:rFonts w:ascii="MS Gothic" w:eastAsia="MS Gothic" w:hAnsi="MS Gothic" w:hint="eastAsia"/>
                    <w:color w:val="FFFFFF" w:themeColor="background1"/>
                  </w:rPr>
                  <w:t>☒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Buildings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7B240302" w14:textId="10104D59" w:rsidR="00DC660B" w:rsidRPr="00A02C23" w:rsidRDefault="00657001" w:rsidP="00E07C2E">
            <w:pPr>
              <w:spacing w:before="120" w:after="120"/>
              <w:rPr>
                <w:b/>
              </w:rPr>
            </w:pPr>
            <w:sdt>
              <w:sdtPr>
                <w:id w:val="-1957562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Certified Buildings</w:t>
            </w:r>
            <w:r w:rsidR="00DC660B">
              <w:br/>
            </w:r>
            <w:sdt>
              <w:sdtPr>
                <w:id w:val="78300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HVAC systems</w:t>
            </w:r>
            <w:r w:rsidR="00DC660B">
              <w:br/>
            </w:r>
            <w:sdt>
              <w:sdtPr>
                <w:id w:val="8592362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 w:rsidRPr="00E03AFE">
              <w:t xml:space="preserve"> </w:t>
            </w:r>
            <w:r w:rsidR="00DC660B">
              <w:t>Energy performance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2F946940" w14:textId="77777777" w:rsidR="00DC660B" w:rsidRPr="00E03AFE" w:rsidRDefault="00657001" w:rsidP="00E07C2E">
            <w:pPr>
              <w:spacing w:before="120" w:after="120"/>
            </w:pPr>
            <w:sdt>
              <w:sdtPr>
                <w:id w:val="7631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Water performance</w:t>
            </w:r>
            <w:r w:rsidR="00DC660B">
              <w:br/>
            </w:r>
            <w:sdt>
              <w:sdtPr>
                <w:id w:val="190580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 storage/meters</w:t>
            </w:r>
            <w:r w:rsidR="00DC660B">
              <w:br/>
            </w:r>
            <w:sdt>
              <w:sdtPr>
                <w:id w:val="-4057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Other energy related</w:t>
            </w:r>
          </w:p>
        </w:tc>
        <w:tc>
          <w:tcPr>
            <w:tcW w:w="2719" w:type="dxa"/>
            <w:tcBorders>
              <w:left w:val="nil"/>
            </w:tcBorders>
          </w:tcPr>
          <w:p w14:paraId="6B968A19" w14:textId="77777777" w:rsidR="00DC660B" w:rsidRPr="00E03AFE" w:rsidRDefault="00657001" w:rsidP="00E07C2E">
            <w:pPr>
              <w:spacing w:before="120" w:after="120"/>
            </w:pPr>
            <w:sdt>
              <w:sdtPr>
                <w:id w:val="8065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Industry: components</w:t>
            </w:r>
            <w:r w:rsidR="00DC660B">
              <w:br/>
            </w:r>
            <w:sdt>
              <w:sdtPr>
                <w:id w:val="-2603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 xml:space="preserve"> Adaptation &amp;</w:t>
            </w:r>
            <w:r w:rsidR="00DC660B">
              <w:rPr>
                <w:color w:val="000000" w:themeColor="text1"/>
                <w:highlight w:val="lightGray"/>
              </w:rPr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resilience</w:t>
            </w:r>
          </w:p>
        </w:tc>
      </w:tr>
      <w:tr w:rsidR="00DC660B" w:rsidRPr="00E03AFE" w14:paraId="5243CA4C" w14:textId="77777777" w:rsidTr="00E07C2E">
        <w:trPr>
          <w:trHeight w:val="344"/>
        </w:trPr>
        <w:tc>
          <w:tcPr>
            <w:tcW w:w="2405" w:type="dxa"/>
            <w:shd w:val="clear" w:color="auto" w:fill="5B9BD5" w:themeFill="accent5"/>
          </w:tcPr>
          <w:p w14:paraId="7E063193" w14:textId="685182D4" w:rsidR="00DC660B" w:rsidRPr="00C750F6" w:rsidRDefault="00657001" w:rsidP="00E07C2E">
            <w:pPr>
              <w:spacing w:before="120" w:after="1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286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00">
                  <w:rPr>
                    <w:rFonts w:ascii="MS Gothic" w:eastAsia="MS Gothic" w:hAnsi="MS Gothic" w:hint="eastAsia"/>
                    <w:color w:val="FFFFFF" w:themeColor="background1"/>
                  </w:rPr>
                  <w:t>☒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</w:t>
            </w:r>
            <w:r w:rsidR="00DC660B" w:rsidRPr="00BE3955">
              <w:rPr>
                <w:b/>
                <w:color w:val="FFFFFF" w:themeColor="background1"/>
              </w:rPr>
              <w:t>Transport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4EA8C159" w14:textId="46EA7C74" w:rsidR="00DC660B" w:rsidRPr="00A02C23" w:rsidRDefault="00657001" w:rsidP="00E07C2E">
            <w:pPr>
              <w:spacing w:before="120" w:after="120"/>
              <w:rPr>
                <w:b/>
              </w:rPr>
            </w:pPr>
            <w:sdt>
              <w:sdtPr>
                <w:id w:val="-17056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 xml:space="preserve">Electric vehicles </w:t>
            </w:r>
            <w:r w:rsidR="00DC660B">
              <w:br/>
            </w:r>
            <w:sdt>
              <w:sdtPr>
                <w:id w:val="-202986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Low emission vehicles</w:t>
            </w:r>
            <w:r w:rsidR="00DC660B">
              <w:br/>
            </w:r>
            <w:sdt>
              <w:sdtPr>
                <w:id w:val="17375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Bus rapid transit</w:t>
            </w:r>
            <w:r w:rsidR="00DC660B">
              <w:br/>
            </w:r>
            <w:sdt>
              <w:sdtPr>
                <w:id w:val="55382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Passenger trains</w:t>
            </w:r>
            <w:r w:rsidR="00DC660B">
              <w:br/>
            </w:r>
            <w:sdt>
              <w:sdtPr>
                <w:id w:val="-210902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Urban rail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3B0E515E" w14:textId="446FAC4B" w:rsidR="00DC660B" w:rsidRPr="00E03AFE" w:rsidRDefault="00657001" w:rsidP="00E07C2E">
            <w:pPr>
              <w:tabs>
                <w:tab w:val="left" w:pos="2672"/>
                <w:tab w:val="left" w:pos="2808"/>
              </w:tabs>
              <w:spacing w:before="120" w:after="120"/>
            </w:pPr>
            <w:sdt>
              <w:sdtPr>
                <w:id w:val="-110673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Freight rolling stock </w:t>
            </w:r>
            <w:r w:rsidR="00DC660B">
              <w:br/>
            </w:r>
            <w:sdt>
              <w:sdtPr>
                <w:id w:val="8985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Coach / public bus</w:t>
            </w:r>
            <w:r w:rsidR="00DC660B">
              <w:br/>
            </w:r>
            <w:sdt>
              <w:sdtPr>
                <w:id w:val="14782675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Bicycle infrastructure</w:t>
            </w:r>
            <w:r w:rsidR="00DC660B">
              <w:br/>
            </w:r>
            <w:sdt>
              <w:sdtPr>
                <w:id w:val="29587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 performance </w:t>
            </w:r>
            <w:r w:rsidR="00DC660B">
              <w:br/>
            </w:r>
          </w:p>
        </w:tc>
        <w:tc>
          <w:tcPr>
            <w:tcW w:w="2719" w:type="dxa"/>
            <w:tcBorders>
              <w:left w:val="nil"/>
            </w:tcBorders>
          </w:tcPr>
          <w:p w14:paraId="2F545B6A" w14:textId="6468013E" w:rsidR="00DC660B" w:rsidRPr="00E03AFE" w:rsidRDefault="00657001" w:rsidP="00E07C2E">
            <w:pPr>
              <w:tabs>
                <w:tab w:val="left" w:pos="2672"/>
                <w:tab w:val="left" w:pos="2808"/>
              </w:tabs>
              <w:spacing w:before="120" w:after="120"/>
            </w:pPr>
            <w:sdt>
              <w:sdtPr>
                <w:id w:val="52105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Transport logistics</w:t>
            </w:r>
            <w:r w:rsidR="00DC660B">
              <w:br/>
            </w:r>
            <w:sdt>
              <w:sdtPr>
                <w:id w:val="21124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Infrastructure</w:t>
            </w:r>
            <w:r w:rsidR="00DC660B">
              <w:br/>
            </w:r>
            <w:sdt>
              <w:sdtPr>
                <w:id w:val="10158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Industry: components</w:t>
            </w:r>
            <w:r w:rsidR="00DC660B">
              <w:br/>
            </w:r>
            <w:sdt>
              <w:sdtPr>
                <w:id w:val="20036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 xml:space="preserve"> Adaptation &amp;</w:t>
            </w:r>
            <w:r w:rsidR="00DC660B">
              <w:rPr>
                <w:color w:val="000000" w:themeColor="text1"/>
                <w:highlight w:val="lightGray"/>
              </w:rPr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resilience</w:t>
            </w:r>
          </w:p>
        </w:tc>
      </w:tr>
      <w:tr w:rsidR="00DC660B" w:rsidRPr="00E03AFE" w14:paraId="295AE9B6" w14:textId="77777777" w:rsidTr="00E07C2E">
        <w:trPr>
          <w:trHeight w:val="984"/>
        </w:trPr>
        <w:tc>
          <w:tcPr>
            <w:tcW w:w="2405" w:type="dxa"/>
            <w:shd w:val="clear" w:color="auto" w:fill="5B9BD5" w:themeFill="accent5"/>
          </w:tcPr>
          <w:p w14:paraId="0DB4A8D1" w14:textId="31AFA31B" w:rsidR="00DC660B" w:rsidRPr="00C750F6" w:rsidRDefault="00657001" w:rsidP="00E07C2E">
            <w:pPr>
              <w:spacing w:before="120" w:after="1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6093431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00">
                  <w:rPr>
                    <w:rFonts w:ascii="MS Gothic" w:eastAsia="MS Gothic" w:hAnsi="MS Gothic" w:hint="eastAsia"/>
                    <w:color w:val="FFFFFF" w:themeColor="background1"/>
                  </w:rPr>
                  <w:t>☒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Water &amp; wastewater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66BD2048" w14:textId="5A45F7DA" w:rsidR="00DC660B" w:rsidRPr="005C5256" w:rsidRDefault="00657001" w:rsidP="00E07C2E">
            <w:pPr>
              <w:spacing w:before="120" w:after="120"/>
            </w:pPr>
            <w:sdt>
              <w:sdtPr>
                <w:id w:val="1405871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Water distribution </w:t>
            </w:r>
            <w:r w:rsidR="00DC660B">
              <w:br/>
            </w:r>
            <w:sdt>
              <w:sdtPr>
                <w:id w:val="-1558235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Water treatment</w:t>
            </w:r>
            <w:r w:rsidR="00DC660B">
              <w:br/>
            </w:r>
            <w:sdt>
              <w:sdtPr>
                <w:id w:val="1727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Wastewater treatment</w:t>
            </w:r>
            <w:r w:rsidR="00DC660B">
              <w:br/>
            </w:r>
            <w:sdt>
              <w:sdtPr>
                <w:id w:val="-68135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Water storage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008C5981" w14:textId="6EF6E1B6" w:rsidR="00DC660B" w:rsidRPr="00E03AFE" w:rsidRDefault="00657001" w:rsidP="00E07C2E">
            <w:pPr>
              <w:spacing w:before="120" w:after="120"/>
            </w:pPr>
            <w:sdt>
              <w:sdtPr>
                <w:id w:val="136254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Storm water </w:t>
            </w:r>
            <w:proofErr w:type="spellStart"/>
            <w:r w:rsidR="00DC660B">
              <w:t>mgmt</w:t>
            </w:r>
            <w:proofErr w:type="spellEnd"/>
            <w:r w:rsidR="00DC660B">
              <w:br/>
            </w:r>
            <w:sdt>
              <w:sdtPr>
                <w:id w:val="82339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</w:t>
            </w:r>
            <w:r w:rsidR="002941AA">
              <w:t>Flood protection</w:t>
            </w:r>
            <w:r w:rsidR="002941AA">
              <w:br/>
            </w:r>
            <w:sdt>
              <w:sdtPr>
                <w:id w:val="186855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1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41AA">
              <w:t xml:space="preserve"> </w:t>
            </w:r>
            <w:r w:rsidR="00DC660B">
              <w:t>Desalinisation plants</w:t>
            </w:r>
            <w:r w:rsidR="00DC660B">
              <w:br/>
            </w:r>
            <w:sdt>
              <w:sdtPr>
                <w:id w:val="140371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Erosion control</w:t>
            </w:r>
            <w:r w:rsidR="00DC660B">
              <w:br/>
            </w:r>
            <w:sdt>
              <w:sdtPr>
                <w:id w:val="-105300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 performance</w:t>
            </w:r>
          </w:p>
        </w:tc>
        <w:tc>
          <w:tcPr>
            <w:tcW w:w="2719" w:type="dxa"/>
            <w:tcBorders>
              <w:left w:val="nil"/>
            </w:tcBorders>
          </w:tcPr>
          <w:p w14:paraId="23525A32" w14:textId="0E182583" w:rsidR="00DC660B" w:rsidRPr="00E03AFE" w:rsidRDefault="00657001" w:rsidP="00E07C2E">
            <w:pPr>
              <w:spacing w:before="120" w:after="120"/>
            </w:pPr>
            <w:sdt>
              <w:sdtPr>
                <w:id w:val="15761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Infrastructure </w:t>
            </w:r>
            <w:r w:rsidR="00DC660B">
              <w:br/>
            </w:r>
            <w:sdt>
              <w:sdtPr>
                <w:id w:val="65094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Industry: components</w:t>
            </w:r>
            <w:r w:rsidR="00DC660B">
              <w:br/>
            </w:r>
            <w:sdt>
              <w:sdtPr>
                <w:id w:val="3410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 xml:space="preserve"> Adaptation &amp;</w:t>
            </w:r>
            <w:r w:rsidR="00DC660B">
              <w:rPr>
                <w:color w:val="000000" w:themeColor="text1"/>
                <w:highlight w:val="lightGray"/>
              </w:rPr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resilience</w:t>
            </w:r>
          </w:p>
        </w:tc>
      </w:tr>
      <w:tr w:rsidR="00DC660B" w:rsidRPr="00E03AFE" w14:paraId="24F2E255" w14:textId="77777777" w:rsidTr="00E07C2E">
        <w:trPr>
          <w:trHeight w:val="344"/>
        </w:trPr>
        <w:tc>
          <w:tcPr>
            <w:tcW w:w="2405" w:type="dxa"/>
            <w:shd w:val="clear" w:color="auto" w:fill="5B9BD5" w:themeFill="accent5"/>
          </w:tcPr>
          <w:p w14:paraId="1FC4BD47" w14:textId="0F20F926" w:rsidR="00DC660B" w:rsidRPr="00C750F6" w:rsidRDefault="00657001" w:rsidP="00E07C2E">
            <w:pPr>
              <w:spacing w:before="120" w:after="1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80616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B00">
                  <w:rPr>
                    <w:rFonts w:ascii="MS Gothic" w:eastAsia="MS Gothic" w:hAnsi="MS Gothic" w:hint="eastAsia"/>
                    <w:color w:val="FFFFFF" w:themeColor="background1"/>
                  </w:rPr>
                  <w:t>☒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Waste management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599E19EE" w14:textId="53CAD4C2" w:rsidR="00DC660B" w:rsidRPr="001A08EF" w:rsidRDefault="00657001" w:rsidP="00E07C2E">
            <w:pPr>
              <w:spacing w:before="120" w:after="120"/>
            </w:pPr>
            <w:sdt>
              <w:sdtPr>
                <w:id w:val="-1079280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 w:rsidRPr="00E03AFE">
              <w:t xml:space="preserve"> </w:t>
            </w:r>
            <w:r w:rsidR="00DC660B">
              <w:t xml:space="preserve">Recycling </w:t>
            </w:r>
            <w:r w:rsidR="00DC660B">
              <w:br/>
            </w:r>
            <w:sdt>
              <w:sdtPr>
                <w:id w:val="-1597709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Waste prevention</w:t>
            </w:r>
            <w:r w:rsidR="00DC660B">
              <w:br/>
            </w:r>
            <w:sdt>
              <w:sdtPr>
                <w:id w:val="-20129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E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Pollution control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2155AC72" w14:textId="523C8D9C" w:rsidR="00DC660B" w:rsidRPr="00E03AFE" w:rsidRDefault="00657001" w:rsidP="00E07C2E">
            <w:pPr>
              <w:spacing w:before="120" w:after="120"/>
            </w:pPr>
            <w:sdt>
              <w:sdtPr>
                <w:id w:val="1199055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D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660B">
              <w:t xml:space="preserve"> Landfill, energy capture</w:t>
            </w:r>
            <w:r w:rsidR="00DC660B">
              <w:br/>
            </w:r>
            <w:sdt>
              <w:sdtPr>
                <w:id w:val="75162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 performance</w:t>
            </w:r>
            <w:r w:rsidR="00DC660B">
              <w:br/>
            </w:r>
            <w:sdt>
              <w:sdtPr>
                <w:id w:val="1528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Infrastructure</w:t>
            </w:r>
          </w:p>
        </w:tc>
        <w:tc>
          <w:tcPr>
            <w:tcW w:w="2719" w:type="dxa"/>
            <w:tcBorders>
              <w:left w:val="nil"/>
            </w:tcBorders>
          </w:tcPr>
          <w:p w14:paraId="6EC55FA3" w14:textId="77777777" w:rsidR="00DC660B" w:rsidRPr="00E03AFE" w:rsidRDefault="00657001" w:rsidP="00E07C2E">
            <w:pPr>
              <w:spacing w:before="120" w:after="120"/>
            </w:pPr>
            <w:sdt>
              <w:sdtPr>
                <w:id w:val="96138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Industry: components </w:t>
            </w:r>
            <w:sdt>
              <w:sdtPr>
                <w:id w:val="-18370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 xml:space="preserve"> Adaptation &amp;</w:t>
            </w:r>
            <w:r w:rsidR="00DC660B">
              <w:rPr>
                <w:color w:val="000000" w:themeColor="text1"/>
                <w:highlight w:val="lightGray"/>
              </w:rPr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resilience</w:t>
            </w:r>
          </w:p>
        </w:tc>
      </w:tr>
      <w:tr w:rsidR="00DC660B" w:rsidRPr="00731C75" w14:paraId="6A14D105" w14:textId="77777777" w:rsidTr="00E07C2E">
        <w:trPr>
          <w:trHeight w:val="911"/>
        </w:trPr>
        <w:tc>
          <w:tcPr>
            <w:tcW w:w="2405" w:type="dxa"/>
            <w:shd w:val="clear" w:color="auto" w:fill="5B9BD5" w:themeFill="accent5"/>
          </w:tcPr>
          <w:p w14:paraId="14E1A2EF" w14:textId="1CE1D6BF" w:rsidR="00DC660B" w:rsidRPr="00C750F6" w:rsidRDefault="00657001" w:rsidP="00E07C2E">
            <w:pPr>
              <w:spacing w:before="120" w:after="1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3586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Land use &amp; agriculture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2F346C50" w14:textId="3246EA34" w:rsidR="00DC660B" w:rsidRPr="00A02C23" w:rsidRDefault="00657001" w:rsidP="00E07C2E">
            <w:pPr>
              <w:spacing w:before="120" w:after="120"/>
              <w:rPr>
                <w:b/>
              </w:rPr>
            </w:pPr>
            <w:sdt>
              <w:sdtPr>
                <w:id w:val="-1574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Afforestation/parks</w:t>
            </w:r>
            <w:r w:rsidR="00DC660B">
              <w:br/>
            </w:r>
            <w:sdt>
              <w:sdtPr>
                <w:id w:val="13299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 w:rsidRPr="00E03AFE">
              <w:t xml:space="preserve"> FSC Forestry</w:t>
            </w:r>
            <w:r w:rsidR="00DC660B">
              <w:br/>
            </w:r>
            <w:sdt>
              <w:sdtPr>
                <w:id w:val="-6701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 w:rsidRPr="00E03A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660B" w:rsidRPr="00E03AFE">
              <w:t xml:space="preserve"> FSC Cellulose &amp; paper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092C0977" w14:textId="6BACAE66" w:rsidR="00DC660B" w:rsidRPr="00731C75" w:rsidRDefault="00657001" w:rsidP="00E07C2E">
            <w:pPr>
              <w:spacing w:before="120" w:after="120"/>
            </w:pPr>
            <w:sdt>
              <w:sdtPr>
                <w:id w:val="51604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Land remediation</w:t>
            </w:r>
            <w:r w:rsidR="00DC660B">
              <w:br/>
            </w:r>
            <w:sdt>
              <w:sdtPr>
                <w:id w:val="211054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Energy/water efficiency</w:t>
            </w:r>
            <w:r w:rsidR="00DC660B">
              <w:br/>
            </w:r>
          </w:p>
        </w:tc>
        <w:tc>
          <w:tcPr>
            <w:tcW w:w="2719" w:type="dxa"/>
            <w:tcBorders>
              <w:left w:val="nil"/>
            </w:tcBorders>
          </w:tcPr>
          <w:p w14:paraId="7973C9E2" w14:textId="7C2D4789" w:rsidR="00DC660B" w:rsidRPr="00731C75" w:rsidRDefault="00657001" w:rsidP="00E07C2E">
            <w:pPr>
              <w:spacing w:before="120" w:after="120"/>
            </w:pPr>
            <w:sdt>
              <w:sdtPr>
                <w:id w:val="-138278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Sustainable agriculture</w:t>
            </w:r>
            <w:r w:rsidR="00DC660B">
              <w:br/>
            </w:r>
            <w:sdt>
              <w:sdtPr>
                <w:id w:val="-11315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 xml:space="preserve"> Adaptation &amp;</w:t>
            </w:r>
            <w:r w:rsidR="00DC660B">
              <w:rPr>
                <w:color w:val="000000" w:themeColor="text1"/>
                <w:highlight w:val="lightGray"/>
              </w:rPr>
              <w:t xml:space="preserve"> </w:t>
            </w:r>
            <w:r w:rsidR="00DC660B" w:rsidRPr="001E2508">
              <w:rPr>
                <w:color w:val="000000" w:themeColor="text1"/>
                <w:highlight w:val="lightGray"/>
              </w:rPr>
              <w:t>resilience</w:t>
            </w:r>
          </w:p>
        </w:tc>
      </w:tr>
      <w:tr w:rsidR="00DC660B" w:rsidRPr="00E03AFE" w14:paraId="3BCCBE6A" w14:textId="77777777" w:rsidTr="00E07C2E">
        <w:trPr>
          <w:trHeight w:val="344"/>
        </w:trPr>
        <w:tc>
          <w:tcPr>
            <w:tcW w:w="2405" w:type="dxa"/>
            <w:shd w:val="clear" w:color="auto" w:fill="5B9BD5" w:themeFill="accent5"/>
          </w:tcPr>
          <w:p w14:paraId="3BA398A4" w14:textId="267A5837" w:rsidR="00DC660B" w:rsidRPr="00C750F6" w:rsidRDefault="00657001" w:rsidP="00E07C2E">
            <w:pPr>
              <w:spacing w:before="120" w:after="120"/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2437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  <w:color w:val="FFFFFF" w:themeColor="background1"/>
                  </w:rPr>
                  <w:t>☐</w:t>
                </w:r>
              </w:sdtContent>
            </w:sdt>
            <w:r w:rsidR="00DC660B" w:rsidRPr="00C750F6">
              <w:rPr>
                <w:b/>
                <w:color w:val="FFFFFF" w:themeColor="background1"/>
              </w:rPr>
              <w:t xml:space="preserve"> Other</w:t>
            </w:r>
          </w:p>
        </w:tc>
        <w:tc>
          <w:tcPr>
            <w:tcW w:w="2577" w:type="dxa"/>
            <w:gridSpan w:val="2"/>
            <w:tcBorders>
              <w:right w:val="nil"/>
            </w:tcBorders>
          </w:tcPr>
          <w:p w14:paraId="0E238DAB" w14:textId="56B54861" w:rsidR="00DC660B" w:rsidRPr="00A02C23" w:rsidRDefault="00657001" w:rsidP="00E07C2E">
            <w:pPr>
              <w:spacing w:before="120" w:after="120"/>
              <w:rPr>
                <w:b/>
              </w:rPr>
            </w:pPr>
            <w:sdt>
              <w:sdtPr>
                <w:id w:val="5646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C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60B">
              <w:t xml:space="preserve"> Adaptation &amp; resilience</w:t>
            </w:r>
          </w:p>
        </w:tc>
        <w:tc>
          <w:tcPr>
            <w:tcW w:w="2663" w:type="dxa"/>
            <w:tcBorders>
              <w:left w:val="nil"/>
              <w:right w:val="nil"/>
            </w:tcBorders>
          </w:tcPr>
          <w:p w14:paraId="04FE948B" w14:textId="77777777" w:rsidR="00DC660B" w:rsidRPr="00E03AFE" w:rsidRDefault="00657001" w:rsidP="00E07C2E">
            <w:pPr>
              <w:spacing w:before="120" w:after="120"/>
            </w:pPr>
            <w:sdt>
              <w:sdtPr>
                <w:id w:val="180435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 w:rsidRPr="00E03A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ICT</w:t>
            </w:r>
          </w:p>
        </w:tc>
        <w:tc>
          <w:tcPr>
            <w:tcW w:w="2719" w:type="dxa"/>
            <w:tcBorders>
              <w:left w:val="nil"/>
            </w:tcBorders>
          </w:tcPr>
          <w:p w14:paraId="35954D8C" w14:textId="77777777" w:rsidR="00DC660B" w:rsidRPr="00E03AFE" w:rsidRDefault="00657001" w:rsidP="00E07C2E">
            <w:pPr>
              <w:spacing w:before="120" w:after="120"/>
            </w:pPr>
            <w:sdt>
              <w:sdtPr>
                <w:id w:val="-70140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60B" w:rsidRPr="00E03A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660B" w:rsidRPr="00E03AFE">
              <w:t xml:space="preserve"> </w:t>
            </w:r>
            <w:r w:rsidR="00DC660B">
              <w:t>Industry: process</w:t>
            </w:r>
          </w:p>
        </w:tc>
      </w:tr>
      <w:tr w:rsidR="00DC660B" w:rsidRPr="00C750F6" w14:paraId="14EFD3B9" w14:textId="77777777" w:rsidTr="00E07C2E">
        <w:trPr>
          <w:trHeight w:val="395"/>
        </w:trPr>
        <w:tc>
          <w:tcPr>
            <w:tcW w:w="10364" w:type="dxa"/>
            <w:gridSpan w:val="5"/>
            <w:shd w:val="clear" w:color="auto" w:fill="3068A5"/>
          </w:tcPr>
          <w:p w14:paraId="38B1B815" w14:textId="77777777" w:rsidR="00DC660B" w:rsidRPr="00C750F6" w:rsidRDefault="00DC660B" w:rsidP="00E07C2E">
            <w:pPr>
              <w:spacing w:before="120" w:after="120"/>
              <w:rPr>
                <w:b/>
              </w:rPr>
            </w:pPr>
            <w:r>
              <w:rPr>
                <w:b/>
                <w:color w:val="FFFFFF" w:themeColor="background1"/>
              </w:rPr>
              <w:t>Issue details</w:t>
            </w:r>
          </w:p>
        </w:tc>
      </w:tr>
      <w:tr w:rsidR="00DC660B" w14:paraId="323286CF" w14:textId="77777777" w:rsidTr="00E07C2E">
        <w:trPr>
          <w:trHeight w:val="361"/>
        </w:trPr>
        <w:tc>
          <w:tcPr>
            <w:tcW w:w="2405" w:type="dxa"/>
            <w:shd w:val="clear" w:color="auto" w:fill="5B9BD5" w:themeFill="accent5"/>
          </w:tcPr>
          <w:p w14:paraId="4F9A2EBB" w14:textId="77777777" w:rsidR="00DC660B" w:rsidRPr="00B53D81" w:rsidRDefault="00DC660B" w:rsidP="00E07C2E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Reporting</w:t>
            </w:r>
          </w:p>
        </w:tc>
        <w:tc>
          <w:tcPr>
            <w:tcW w:w="7959" w:type="dxa"/>
            <w:gridSpan w:val="4"/>
          </w:tcPr>
          <w:p w14:paraId="3FF72807" w14:textId="77C10188" w:rsidR="002B52F7" w:rsidRPr="002B52F7" w:rsidRDefault="002B52F7" w:rsidP="00E07C2E">
            <w:r w:rsidRPr="002B52F7">
              <w:t xml:space="preserve">An annual report will be made publicly available on the </w:t>
            </w:r>
            <w:r w:rsidR="00BA6F18">
              <w:t>HKSAR government</w:t>
            </w:r>
            <w:r w:rsidRPr="002B52F7">
              <w:t xml:space="preserve"> website. Th</w:t>
            </w:r>
            <w:r>
              <w:t>ese</w:t>
            </w:r>
            <w:r w:rsidRPr="002B52F7">
              <w:t xml:space="preserve"> report</w:t>
            </w:r>
            <w:r>
              <w:t>s</w:t>
            </w:r>
            <w:r w:rsidRPr="002B52F7">
              <w:t xml:space="preserve"> will include details on</w:t>
            </w:r>
            <w:r w:rsidR="00CD67AC">
              <w:t>:</w:t>
            </w:r>
            <w:r w:rsidRPr="002B52F7">
              <w:t xml:space="preserve"> </w:t>
            </w:r>
          </w:p>
          <w:p w14:paraId="1883E127" w14:textId="63DBD0A3" w:rsidR="00DC660B" w:rsidRDefault="002B52F7" w:rsidP="002B52F7">
            <w:pPr>
              <w:pStyle w:val="ListParagraph"/>
              <w:numPr>
                <w:ilvl w:val="0"/>
                <w:numId w:val="2"/>
              </w:numPr>
            </w:pPr>
            <w:r w:rsidRPr="002B52F7">
              <w:t>the allocation of proceeds</w:t>
            </w:r>
            <w:r>
              <w:t xml:space="preserve"> to major projects and project categories</w:t>
            </w:r>
          </w:p>
          <w:p w14:paraId="344D9AF8" w14:textId="77777777" w:rsidR="002B52F7" w:rsidRDefault="002B52F7" w:rsidP="002B52F7">
            <w:pPr>
              <w:pStyle w:val="ListParagraph"/>
              <w:numPr>
                <w:ilvl w:val="0"/>
                <w:numId w:val="2"/>
              </w:numPr>
            </w:pPr>
            <w:r>
              <w:t>remaining balance of unallocated proceeds</w:t>
            </w:r>
          </w:p>
          <w:p w14:paraId="7BBEF007" w14:textId="35FE5079" w:rsidR="002B52F7" w:rsidRDefault="002B52F7" w:rsidP="002B52F7">
            <w:pPr>
              <w:pStyle w:val="ListParagraph"/>
              <w:numPr>
                <w:ilvl w:val="0"/>
                <w:numId w:val="2"/>
              </w:numPr>
            </w:pPr>
            <w:r>
              <w:t>percentage of financing and refinancing</w:t>
            </w:r>
            <w:r w:rsidR="00CD67AC">
              <w:t xml:space="preserve">, and </w:t>
            </w:r>
          </w:p>
          <w:p w14:paraId="26BEE527" w14:textId="78620EB7" w:rsidR="002B52F7" w:rsidRDefault="002B52F7" w:rsidP="002B52F7">
            <w:pPr>
              <w:pStyle w:val="ListParagraph"/>
              <w:numPr>
                <w:ilvl w:val="0"/>
                <w:numId w:val="2"/>
              </w:numPr>
            </w:pPr>
            <w:r>
              <w:t>quantitative environmental impact indicators of the projects</w:t>
            </w:r>
            <w:r w:rsidR="00CD67AC">
              <w:t>.</w:t>
            </w:r>
          </w:p>
          <w:p w14:paraId="68FFA38F" w14:textId="72399966" w:rsidR="002B52F7" w:rsidRPr="002B52F7" w:rsidRDefault="002B52F7" w:rsidP="002B52F7">
            <w:pPr>
              <w:pStyle w:val="ListParagraph"/>
            </w:pPr>
          </w:p>
        </w:tc>
      </w:tr>
      <w:tr w:rsidR="00DC660B" w:rsidRPr="00E03AFE" w14:paraId="1D9B0B3E" w14:textId="77777777" w:rsidTr="00E07C2E">
        <w:trPr>
          <w:trHeight w:val="297"/>
        </w:trPr>
        <w:tc>
          <w:tcPr>
            <w:tcW w:w="2405" w:type="dxa"/>
            <w:shd w:val="clear" w:color="auto" w:fill="5B9BD5" w:themeFill="accent5"/>
          </w:tcPr>
          <w:p w14:paraId="576A6F37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Company information</w:t>
            </w:r>
          </w:p>
        </w:tc>
        <w:tc>
          <w:tcPr>
            <w:tcW w:w="7959" w:type="dxa"/>
            <w:gridSpan w:val="4"/>
          </w:tcPr>
          <w:p w14:paraId="29397DC7" w14:textId="0F164981" w:rsidR="00DC660B" w:rsidRPr="00475B0E" w:rsidRDefault="006D349B" w:rsidP="00E07C2E">
            <w:pPr>
              <w:spacing w:before="120" w:after="120"/>
            </w:pPr>
            <w:r w:rsidRPr="00475B0E">
              <w:t>Hong Kong SAR is a separate jurisdiction within China, with its own monetary policy, legal systems, and treasury function</w:t>
            </w:r>
            <w:r w:rsidR="00095080">
              <w:t>.</w:t>
            </w:r>
          </w:p>
        </w:tc>
      </w:tr>
      <w:tr w:rsidR="00DC660B" w14:paraId="6263DA7F" w14:textId="77777777" w:rsidTr="00E07C2E">
        <w:trPr>
          <w:trHeight w:val="220"/>
        </w:trPr>
        <w:tc>
          <w:tcPr>
            <w:tcW w:w="2405" w:type="dxa"/>
            <w:shd w:val="clear" w:color="auto" w:fill="5B9BD5" w:themeFill="accent5"/>
          </w:tcPr>
          <w:p w14:paraId="600B1C18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Firsts, records and certifications</w:t>
            </w:r>
          </w:p>
        </w:tc>
        <w:tc>
          <w:tcPr>
            <w:tcW w:w="7959" w:type="dxa"/>
            <w:gridSpan w:val="4"/>
          </w:tcPr>
          <w:p w14:paraId="2541A501" w14:textId="2933FF55" w:rsidR="00DC660B" w:rsidRPr="00475B0E" w:rsidRDefault="006D349B" w:rsidP="00E07C2E">
            <w:pPr>
              <w:spacing w:before="120" w:after="120"/>
            </w:pPr>
            <w:r w:rsidRPr="00475B0E">
              <w:t>This is the first sovereign green bond issued by Hong Kong and the second issued in Asia, after the sovereign green bond (USD1.2</w:t>
            </w:r>
            <w:r w:rsidR="00095080">
              <w:t>5bn</w:t>
            </w:r>
            <w:r w:rsidRPr="00475B0E">
              <w:t xml:space="preserve">, February 2018) by Indonesia.  </w:t>
            </w:r>
          </w:p>
        </w:tc>
      </w:tr>
      <w:tr w:rsidR="00DC660B" w:rsidRPr="00411F41" w14:paraId="2D1AA42E" w14:textId="77777777" w:rsidTr="00E07C2E">
        <w:trPr>
          <w:trHeight w:val="532"/>
        </w:trPr>
        <w:tc>
          <w:tcPr>
            <w:tcW w:w="2405" w:type="dxa"/>
            <w:shd w:val="clear" w:color="auto" w:fill="5B9BD5" w:themeFill="accent5"/>
          </w:tcPr>
          <w:p w14:paraId="2BC230C0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Proceeds description</w:t>
            </w:r>
          </w:p>
        </w:tc>
        <w:tc>
          <w:tcPr>
            <w:tcW w:w="7959" w:type="dxa"/>
            <w:gridSpan w:val="4"/>
          </w:tcPr>
          <w:p w14:paraId="33EEF930" w14:textId="14127232" w:rsidR="000C7C08" w:rsidRPr="00475B0E" w:rsidRDefault="000A639F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 w:rsidRPr="00475B0E">
              <w:rPr>
                <w:sz w:val="22"/>
                <w:szCs w:val="22"/>
              </w:rPr>
              <w:t xml:space="preserve">Renewable energy </w:t>
            </w:r>
            <w:r w:rsidR="000C7C08">
              <w:rPr>
                <w:sz w:val="22"/>
                <w:szCs w:val="22"/>
              </w:rPr>
              <w:t xml:space="preserve">generation installations in government </w:t>
            </w:r>
            <w:r w:rsidR="00B40AEC">
              <w:rPr>
                <w:sz w:val="22"/>
                <w:szCs w:val="22"/>
              </w:rPr>
              <w:t xml:space="preserve">buildings and </w:t>
            </w:r>
            <w:r w:rsidR="000C7C08">
              <w:rPr>
                <w:sz w:val="22"/>
                <w:szCs w:val="22"/>
              </w:rPr>
              <w:t xml:space="preserve">facilities </w:t>
            </w:r>
          </w:p>
          <w:p w14:paraId="6C172C95" w14:textId="6C2A4667" w:rsidR="000A639F" w:rsidRDefault="000A639F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 w:rsidRPr="00475B0E">
              <w:rPr>
                <w:sz w:val="22"/>
                <w:szCs w:val="22"/>
              </w:rPr>
              <w:t>Energy efficiency systems in</w:t>
            </w:r>
            <w:r w:rsidR="000C7C08">
              <w:rPr>
                <w:sz w:val="22"/>
                <w:szCs w:val="22"/>
              </w:rPr>
              <w:t xml:space="preserve"> government</w:t>
            </w:r>
            <w:r w:rsidRPr="00475B0E">
              <w:rPr>
                <w:sz w:val="22"/>
                <w:szCs w:val="22"/>
              </w:rPr>
              <w:t xml:space="preserve"> buildings and facilities </w:t>
            </w:r>
          </w:p>
          <w:p w14:paraId="0933D58D" w14:textId="77777777" w:rsidR="00B40AEC" w:rsidRPr="000C7C08" w:rsidRDefault="00B40AEC" w:rsidP="00B40AEC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 w:rsidRPr="000C7C08">
              <w:rPr>
                <w:rFonts w:cstheme="minorHAnsi"/>
              </w:rPr>
              <w:t>Retrofits of existing government buildings to high energy efficiency standards</w:t>
            </w:r>
          </w:p>
          <w:p w14:paraId="249431BB" w14:textId="77777777" w:rsidR="00B40AEC" w:rsidRPr="000C7C08" w:rsidRDefault="00B40AEC" w:rsidP="00B40AEC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 w:rsidRPr="000C7C08">
              <w:rPr>
                <w:rFonts w:cstheme="minorHAnsi"/>
              </w:rPr>
              <w:t>Construction of new government buildings to high energy efficiency standards</w:t>
            </w:r>
          </w:p>
          <w:p w14:paraId="1E5925C6" w14:textId="7DBCE441" w:rsidR="000C7C08" w:rsidRPr="00475B0E" w:rsidRDefault="000C7C08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District cooling system for a specific </w:t>
            </w:r>
            <w:r w:rsidR="00A754F7">
              <w:rPr>
                <w:sz w:val="22"/>
                <w:szCs w:val="22"/>
              </w:rPr>
              <w:t>region</w:t>
            </w:r>
          </w:p>
          <w:p w14:paraId="05D23239" w14:textId="52AEFF4E" w:rsidR="000C7C08" w:rsidRDefault="000A639F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 w:rsidRPr="00475B0E">
              <w:rPr>
                <w:sz w:val="22"/>
                <w:szCs w:val="22"/>
              </w:rPr>
              <w:t>Monitoring and treatment systems for improving air quality</w:t>
            </w:r>
          </w:p>
          <w:p w14:paraId="491DAE9B" w14:textId="77777777" w:rsidR="00116675" w:rsidRDefault="000833FB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 w:rsidRPr="00475B0E">
              <w:rPr>
                <w:sz w:val="22"/>
                <w:szCs w:val="22"/>
              </w:rPr>
              <w:t>Waste treatment and recycling facilities</w:t>
            </w:r>
          </w:p>
          <w:p w14:paraId="394CCADA" w14:textId="7560D9C1" w:rsidR="000C7C08" w:rsidRDefault="00116675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Waste </w:t>
            </w:r>
            <w:r w:rsidR="000C7C08">
              <w:rPr>
                <w:sz w:val="22"/>
                <w:szCs w:val="22"/>
              </w:rPr>
              <w:t>energy recovery facilities</w:t>
            </w:r>
            <w:r>
              <w:rPr>
                <w:sz w:val="22"/>
                <w:szCs w:val="22"/>
              </w:rPr>
              <w:t xml:space="preserve">, including </w:t>
            </w:r>
            <w:r w:rsidR="007763A6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municipal solid waste (MSW), sewage sludge and food waste</w:t>
            </w:r>
          </w:p>
          <w:p w14:paraId="6AF4E608" w14:textId="2976BD5F" w:rsidR="000C7C08" w:rsidRPr="000C7C08" w:rsidRDefault="000C7C08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 w:rsidRPr="000C7C08">
              <w:rPr>
                <w:sz w:val="22"/>
                <w:szCs w:val="22"/>
              </w:rPr>
              <w:t xml:space="preserve">Water and wastewater treatment and management </w:t>
            </w:r>
            <w:r w:rsidR="000A71FC">
              <w:rPr>
                <w:sz w:val="22"/>
                <w:szCs w:val="22"/>
              </w:rPr>
              <w:t>systems</w:t>
            </w:r>
          </w:p>
          <w:p w14:paraId="4D74BBA4" w14:textId="72A7C8FE" w:rsidR="000C7C08" w:rsidRDefault="007763A6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Improved m</w:t>
            </w:r>
            <w:r w:rsidR="000C7C08">
              <w:rPr>
                <w:sz w:val="22"/>
                <w:szCs w:val="22"/>
              </w:rPr>
              <w:t>onitoring of water distribution and management systems to reduce water consumption</w:t>
            </w:r>
          </w:p>
          <w:p w14:paraId="1FDC0332" w14:textId="41A056A0" w:rsidR="000A71FC" w:rsidRPr="000C7C08" w:rsidRDefault="000A71FC" w:rsidP="000C7C08">
            <w:pPr>
              <w:pStyle w:val="Default"/>
              <w:numPr>
                <w:ilvl w:val="0"/>
                <w:numId w:val="3"/>
              </w:numPr>
              <w:ind w:left="3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Grey water collection and treatment systems</w:t>
            </w:r>
          </w:p>
          <w:p w14:paraId="44B5DE86" w14:textId="3862B8A3" w:rsidR="000A639F" w:rsidRPr="000C7C08" w:rsidRDefault="000833FB" w:rsidP="000C7C08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 w:rsidRPr="000C7C08">
              <w:rPr>
                <w:rFonts w:cstheme="minorHAnsi"/>
              </w:rPr>
              <w:t>Improve climate resilience of water infrastructure</w:t>
            </w:r>
          </w:p>
          <w:p w14:paraId="38B9ED54" w14:textId="77777777" w:rsidR="000C7C08" w:rsidRPr="000C7C08" w:rsidRDefault="000833FB" w:rsidP="000C7C08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 w:rsidRPr="000C7C08">
              <w:rPr>
                <w:rFonts w:cstheme="minorHAnsi"/>
              </w:rPr>
              <w:t>Conservation and restoration of sites with high biodiversity and environmental value</w:t>
            </w:r>
          </w:p>
          <w:p w14:paraId="3E521550" w14:textId="6565288E" w:rsidR="000833FB" w:rsidRDefault="000C7C08" w:rsidP="000C7C08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 w:rsidRPr="000C7C08">
              <w:rPr>
                <w:rFonts w:cstheme="minorHAnsi"/>
              </w:rPr>
              <w:t xml:space="preserve">Expansion and development of urban </w:t>
            </w:r>
            <w:r>
              <w:rPr>
                <w:rFonts w:cstheme="minorHAnsi"/>
              </w:rPr>
              <w:t xml:space="preserve">metro and light </w:t>
            </w:r>
            <w:r w:rsidRPr="000C7C08">
              <w:rPr>
                <w:rFonts w:cstheme="minorHAnsi"/>
              </w:rPr>
              <w:t>rail networks</w:t>
            </w:r>
            <w:r w:rsidR="000833FB" w:rsidRPr="000C7C08">
              <w:rPr>
                <w:rFonts w:cstheme="minorHAnsi"/>
              </w:rPr>
              <w:t xml:space="preserve"> </w:t>
            </w:r>
          </w:p>
          <w:p w14:paraId="6B3F5621" w14:textId="59B05AD0" w:rsidR="000C7C08" w:rsidRPr="000C7C08" w:rsidRDefault="000C7C08" w:rsidP="000C7C08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>
              <w:rPr>
                <w:rFonts w:cstheme="minorHAnsi"/>
              </w:rPr>
              <w:t>Expansion and development of cycling infrastructure</w:t>
            </w:r>
          </w:p>
          <w:p w14:paraId="2676F814" w14:textId="79FD9C6D" w:rsidR="000C7C08" w:rsidRPr="000C7C08" w:rsidRDefault="000C7C08" w:rsidP="000C7C08">
            <w:pPr>
              <w:pStyle w:val="ListParagraph"/>
              <w:numPr>
                <w:ilvl w:val="0"/>
                <w:numId w:val="3"/>
              </w:numPr>
              <w:ind w:left="315"/>
              <w:rPr>
                <w:rFonts w:cstheme="minorHAnsi"/>
              </w:rPr>
            </w:pPr>
            <w:r w:rsidRPr="000C7C08">
              <w:rPr>
                <w:rFonts w:cstheme="minorHAnsi"/>
              </w:rPr>
              <w:t xml:space="preserve">Conservation and restoration of sites with high biodiversity and conservation value </w:t>
            </w:r>
          </w:p>
          <w:p w14:paraId="3419C1C2" w14:textId="77777777" w:rsidR="000C7C08" w:rsidRDefault="000C7C08" w:rsidP="00E07A7D">
            <w:pPr>
              <w:rPr>
                <w:rFonts w:cstheme="minorHAnsi"/>
              </w:rPr>
            </w:pPr>
          </w:p>
          <w:p w14:paraId="2DA4B500" w14:textId="7CF0C74A" w:rsidR="00DD6B00" w:rsidRPr="00475B0E" w:rsidRDefault="00DD6B00" w:rsidP="00E07A7D">
            <w:pPr>
              <w:rPr>
                <w:rFonts w:cstheme="minorHAnsi"/>
              </w:rPr>
            </w:pPr>
            <w:r w:rsidRPr="00475B0E">
              <w:rPr>
                <w:rFonts w:cstheme="minorHAnsi"/>
              </w:rPr>
              <w:t xml:space="preserve">More than 50% of the proceeds will be used to finance new </w:t>
            </w:r>
            <w:r w:rsidR="00A51438">
              <w:rPr>
                <w:rFonts w:cstheme="minorHAnsi"/>
              </w:rPr>
              <w:t>assets and projects</w:t>
            </w:r>
            <w:r w:rsidRPr="00475B0E">
              <w:rPr>
                <w:rFonts w:cstheme="minorHAnsi"/>
              </w:rPr>
              <w:t xml:space="preserve">. </w:t>
            </w:r>
            <w:r w:rsidR="00B150EA">
              <w:rPr>
                <w:rFonts w:cstheme="minorHAnsi"/>
              </w:rPr>
              <w:t>R</w:t>
            </w:r>
            <w:r w:rsidRPr="00475B0E">
              <w:rPr>
                <w:rFonts w:cstheme="minorHAnsi"/>
              </w:rPr>
              <w:t xml:space="preserve">efinancing </w:t>
            </w:r>
            <w:r w:rsidR="00B150EA">
              <w:rPr>
                <w:rFonts w:cstheme="minorHAnsi"/>
              </w:rPr>
              <w:t>projects will need to be from the previous t</w:t>
            </w:r>
            <w:r w:rsidRPr="00475B0E">
              <w:rPr>
                <w:rFonts w:cstheme="minorHAnsi"/>
              </w:rPr>
              <w:t xml:space="preserve">wo financial years. </w:t>
            </w:r>
          </w:p>
          <w:p w14:paraId="53D4FDD5" w14:textId="18E3E9F3" w:rsidR="00DD6B00" w:rsidRPr="00475B0E" w:rsidRDefault="00DD6B00" w:rsidP="00E07A7D">
            <w:pPr>
              <w:rPr>
                <w:rFonts w:cstheme="minorHAnsi"/>
              </w:rPr>
            </w:pPr>
          </w:p>
        </w:tc>
      </w:tr>
      <w:tr w:rsidR="00DC660B" w14:paraId="0E04679A" w14:textId="77777777" w:rsidTr="00E07C2E">
        <w:trPr>
          <w:trHeight w:val="451"/>
        </w:trPr>
        <w:tc>
          <w:tcPr>
            <w:tcW w:w="2405" w:type="dxa"/>
            <w:shd w:val="clear" w:color="auto" w:fill="5B9BD5" w:themeFill="accent5"/>
          </w:tcPr>
          <w:p w14:paraId="72193D58" w14:textId="77777777" w:rsidR="00DC660B" w:rsidRPr="00B53D81" w:rsidRDefault="00DC660B" w:rsidP="00E07C2E">
            <w:pPr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t>Climate Bonds view</w:t>
            </w:r>
          </w:p>
        </w:tc>
        <w:tc>
          <w:tcPr>
            <w:tcW w:w="7959" w:type="dxa"/>
            <w:gridSpan w:val="4"/>
          </w:tcPr>
          <w:p w14:paraId="47F22BA3" w14:textId="7A21B37E" w:rsidR="00DC660B" w:rsidRPr="004473F3" w:rsidRDefault="006D349B" w:rsidP="00E07C2E">
            <w:pPr>
              <w:rPr>
                <w:rFonts w:eastAsia="Times New Roman" w:cs="Arial"/>
              </w:rPr>
            </w:pPr>
            <w:r w:rsidRPr="004473F3">
              <w:rPr>
                <w:rFonts w:eastAsia="Times New Roman" w:cs="Arial"/>
              </w:rPr>
              <w:t>The Government had announced that the outstanding bonds in this issuance program may eventually reach up to HK</w:t>
            </w:r>
            <w:r w:rsidR="009D543B" w:rsidRPr="004473F3">
              <w:rPr>
                <w:rFonts w:eastAsia="Times New Roman" w:cs="Arial"/>
              </w:rPr>
              <w:t>D</w:t>
            </w:r>
            <w:r w:rsidRPr="004473F3">
              <w:rPr>
                <w:rFonts w:eastAsia="Times New Roman" w:cs="Arial"/>
              </w:rPr>
              <w:t>100</w:t>
            </w:r>
            <w:r w:rsidR="009D543B" w:rsidRPr="004473F3">
              <w:rPr>
                <w:rFonts w:eastAsia="Times New Roman" w:cs="Arial"/>
              </w:rPr>
              <w:t>bn</w:t>
            </w:r>
            <w:r w:rsidRPr="004473F3">
              <w:rPr>
                <w:rFonts w:eastAsia="Times New Roman" w:cs="Arial"/>
              </w:rPr>
              <w:t xml:space="preserve"> (USD12bn)</w:t>
            </w:r>
            <w:r w:rsidR="002E3DE0" w:rsidRPr="004473F3">
              <w:rPr>
                <w:rFonts w:eastAsia="Times New Roman" w:cs="Arial"/>
              </w:rPr>
              <w:t xml:space="preserve">. This would make it one of the </w:t>
            </w:r>
            <w:r w:rsidR="00941FB2" w:rsidRPr="004473F3">
              <w:rPr>
                <w:rFonts w:eastAsia="Times New Roman" w:cs="Arial"/>
              </w:rPr>
              <w:t>largest</w:t>
            </w:r>
            <w:r w:rsidR="002E3DE0" w:rsidRPr="004473F3">
              <w:rPr>
                <w:rFonts w:eastAsia="Times New Roman" w:cs="Arial"/>
              </w:rPr>
              <w:t xml:space="preserve"> sovereign green issuance program</w:t>
            </w:r>
            <w:r w:rsidR="002C32F2" w:rsidRPr="004473F3">
              <w:rPr>
                <w:rFonts w:eastAsia="Times New Roman" w:cs="Arial"/>
              </w:rPr>
              <w:t>mes</w:t>
            </w:r>
            <w:r w:rsidR="002E3DE0" w:rsidRPr="004473F3">
              <w:rPr>
                <w:rFonts w:eastAsia="Times New Roman" w:cs="Arial"/>
              </w:rPr>
              <w:t xml:space="preserve"> globally.</w:t>
            </w:r>
          </w:p>
          <w:p w14:paraId="4D53417E" w14:textId="2579AD18" w:rsidR="006D349B" w:rsidRPr="00475B0E" w:rsidRDefault="006D349B" w:rsidP="00E07C2E">
            <w:pPr>
              <w:rPr>
                <w:rFonts w:eastAsia="Times New Roman" w:cs="Arial"/>
                <w:color w:val="222222"/>
              </w:rPr>
            </w:pPr>
          </w:p>
        </w:tc>
      </w:tr>
      <w:tr w:rsidR="00DC660B" w:rsidRPr="00F67373" w14:paraId="7A834737" w14:textId="77777777" w:rsidTr="00E07C2E">
        <w:trPr>
          <w:trHeight w:val="536"/>
        </w:trPr>
        <w:tc>
          <w:tcPr>
            <w:tcW w:w="2405" w:type="dxa"/>
            <w:shd w:val="clear" w:color="auto" w:fill="5B9BD5" w:themeFill="accent5"/>
          </w:tcPr>
          <w:p w14:paraId="5A0736D7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B53D81">
              <w:rPr>
                <w:b/>
                <w:bCs/>
                <w:color w:val="FFFFFF" w:themeColor="background1"/>
              </w:rPr>
              <w:lastRenderedPageBreak/>
              <w:t>Underwriters</w:t>
            </w:r>
          </w:p>
        </w:tc>
        <w:tc>
          <w:tcPr>
            <w:tcW w:w="7959" w:type="dxa"/>
            <w:gridSpan w:val="4"/>
          </w:tcPr>
          <w:p w14:paraId="61CFC346" w14:textId="4E3F15F0" w:rsidR="00DC660B" w:rsidRPr="00475B0E" w:rsidRDefault="006D349B" w:rsidP="00E07C2E">
            <w:pPr>
              <w:spacing w:before="120" w:after="120"/>
            </w:pPr>
            <w:r w:rsidRPr="00475B0E">
              <w:t>Credit Agricole CIB</w:t>
            </w:r>
            <w:r w:rsidR="00AA7AFB">
              <w:t>,</w:t>
            </w:r>
            <w:r w:rsidRPr="00475B0E">
              <w:t xml:space="preserve"> HSBC </w:t>
            </w:r>
          </w:p>
        </w:tc>
      </w:tr>
      <w:tr w:rsidR="00DC660B" w:rsidRPr="001E2508" w14:paraId="300F8FB7" w14:textId="77777777" w:rsidTr="00E07C2E">
        <w:trPr>
          <w:trHeight w:val="536"/>
        </w:trPr>
        <w:tc>
          <w:tcPr>
            <w:tcW w:w="10364" w:type="dxa"/>
            <w:gridSpan w:val="5"/>
            <w:shd w:val="clear" w:color="auto" w:fill="3068A5"/>
          </w:tcPr>
          <w:p w14:paraId="195013AD" w14:textId="77777777" w:rsidR="00DC660B" w:rsidRPr="001E2508" w:rsidRDefault="00DC660B" w:rsidP="00E07C2E">
            <w:pPr>
              <w:spacing w:before="120" w:after="120"/>
              <w:rPr>
                <w:b/>
                <w:color w:val="FFFFFF" w:themeColor="background1"/>
              </w:rPr>
            </w:pPr>
            <w:r w:rsidRPr="001E2508">
              <w:rPr>
                <w:b/>
                <w:color w:val="FFFFFF" w:themeColor="background1"/>
              </w:rPr>
              <w:t>Deal comments</w:t>
            </w:r>
          </w:p>
        </w:tc>
      </w:tr>
      <w:tr w:rsidR="00DC660B" w:rsidRPr="00E03AFE" w14:paraId="46FFCEEE" w14:textId="77777777" w:rsidTr="00E07C2E">
        <w:trPr>
          <w:trHeight w:val="536"/>
        </w:trPr>
        <w:tc>
          <w:tcPr>
            <w:tcW w:w="2405" w:type="dxa"/>
            <w:shd w:val="clear" w:color="auto" w:fill="5B9BD5" w:themeFill="accent5"/>
          </w:tcPr>
          <w:p w14:paraId="60093E57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Credit Rating</w:t>
            </w:r>
          </w:p>
        </w:tc>
        <w:tc>
          <w:tcPr>
            <w:tcW w:w="7959" w:type="dxa"/>
            <w:gridSpan w:val="4"/>
          </w:tcPr>
          <w:p w14:paraId="5DA967CB" w14:textId="1681559C" w:rsidR="00DC660B" w:rsidRPr="004473F3" w:rsidRDefault="00967A97" w:rsidP="00E07C2E">
            <w:pPr>
              <w:spacing w:before="120" w:after="120"/>
              <w:rPr>
                <w:rFonts w:eastAsia="Times New Roman" w:cs="Arial"/>
              </w:rPr>
            </w:pPr>
            <w:r w:rsidRPr="004473F3">
              <w:rPr>
                <w:rFonts w:eastAsia="Times New Roman" w:cs="Arial"/>
              </w:rPr>
              <w:t>AA+ (S&amp;P), AA+ (Fitch)</w:t>
            </w:r>
          </w:p>
        </w:tc>
      </w:tr>
      <w:tr w:rsidR="00DC660B" w:rsidRPr="00E03AFE" w14:paraId="467DC0A6" w14:textId="77777777" w:rsidTr="00E07C2E">
        <w:trPr>
          <w:trHeight w:val="536"/>
        </w:trPr>
        <w:tc>
          <w:tcPr>
            <w:tcW w:w="2405" w:type="dxa"/>
            <w:shd w:val="clear" w:color="auto" w:fill="5B9BD5" w:themeFill="accent5"/>
          </w:tcPr>
          <w:p w14:paraId="5EB267C9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Pricing summary</w:t>
            </w:r>
          </w:p>
        </w:tc>
        <w:tc>
          <w:tcPr>
            <w:tcW w:w="7959" w:type="dxa"/>
            <w:gridSpan w:val="4"/>
          </w:tcPr>
          <w:p w14:paraId="7D44765D" w14:textId="0114D022" w:rsidR="00DC660B" w:rsidRPr="004473F3" w:rsidRDefault="006D349B" w:rsidP="00E07C2E">
            <w:pPr>
              <w:pStyle w:val="Default"/>
              <w:spacing w:after="120"/>
              <w:rPr>
                <w:rFonts w:eastAsia="Times New Roman" w:cs="Arial"/>
                <w:color w:val="auto"/>
                <w:sz w:val="22"/>
                <w:szCs w:val="22"/>
              </w:rPr>
            </w:pPr>
            <w:r w:rsidRPr="004473F3">
              <w:rPr>
                <w:rFonts w:eastAsia="Times New Roman" w:cs="Arial"/>
                <w:color w:val="auto"/>
                <w:sz w:val="22"/>
                <w:szCs w:val="22"/>
              </w:rPr>
              <w:t>2.555% (32.5 basis points over 5-year US Treasuries)</w:t>
            </w:r>
          </w:p>
        </w:tc>
      </w:tr>
      <w:tr w:rsidR="00DC660B" w:rsidRPr="00E03AFE" w14:paraId="464D8F57" w14:textId="77777777" w:rsidTr="00E07C2E">
        <w:trPr>
          <w:trHeight w:val="536"/>
        </w:trPr>
        <w:tc>
          <w:tcPr>
            <w:tcW w:w="2405" w:type="dxa"/>
            <w:shd w:val="clear" w:color="auto" w:fill="5B9BD5" w:themeFill="accent5"/>
          </w:tcPr>
          <w:p w14:paraId="61548BAD" w14:textId="77777777" w:rsidR="00DC660B" w:rsidRPr="00B53D81" w:rsidRDefault="00DC660B" w:rsidP="00E07C2E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Investors summary</w:t>
            </w:r>
          </w:p>
        </w:tc>
        <w:tc>
          <w:tcPr>
            <w:tcW w:w="7959" w:type="dxa"/>
            <w:gridSpan w:val="4"/>
          </w:tcPr>
          <w:p w14:paraId="6F624977" w14:textId="77777777" w:rsidR="006D349B" w:rsidRPr="004473F3" w:rsidRDefault="006D349B" w:rsidP="00E07C2E">
            <w:pPr>
              <w:spacing w:after="120"/>
            </w:pPr>
            <w:r w:rsidRPr="004473F3">
              <w:t>29% banks</w:t>
            </w:r>
            <w:bookmarkStart w:id="1" w:name="_GoBack"/>
            <w:bookmarkEnd w:id="1"/>
          </w:p>
          <w:p w14:paraId="6B83641D" w14:textId="265D9678" w:rsidR="006D349B" w:rsidRPr="004473F3" w:rsidRDefault="006D349B" w:rsidP="00E07C2E">
            <w:pPr>
              <w:spacing w:after="120"/>
            </w:pPr>
            <w:r w:rsidRPr="004473F3">
              <w:t>30% fund managers, private banks and insurance companies</w:t>
            </w:r>
          </w:p>
          <w:p w14:paraId="037F50DB" w14:textId="0C6E3EF4" w:rsidR="00DC660B" w:rsidRPr="004473F3" w:rsidRDefault="006D349B" w:rsidP="00E07C2E">
            <w:pPr>
              <w:spacing w:after="120"/>
              <w:rPr>
                <w:rFonts w:eastAsia="Times New Roman" w:cs="Arial"/>
              </w:rPr>
            </w:pPr>
            <w:r w:rsidRPr="004473F3">
              <w:t xml:space="preserve">41% to sovereign wealth funds, central banks and </w:t>
            </w:r>
            <w:proofErr w:type="spellStart"/>
            <w:r w:rsidRPr="004473F3">
              <w:t>supranationals</w:t>
            </w:r>
            <w:proofErr w:type="spellEnd"/>
          </w:p>
        </w:tc>
      </w:tr>
      <w:bookmarkEnd w:id="0"/>
    </w:tbl>
    <w:p w14:paraId="150F757F" w14:textId="77777777" w:rsidR="00E22AD2" w:rsidRDefault="00E22AD2" w:rsidP="00E22AD2">
      <w:pPr>
        <w:spacing w:before="240" w:after="0" w:line="240" w:lineRule="auto"/>
      </w:pPr>
    </w:p>
    <w:p w14:paraId="44623761" w14:textId="77777777" w:rsidR="00E90F58" w:rsidRPr="00F05154" w:rsidRDefault="00E90F58" w:rsidP="00E90F58">
      <w:pPr>
        <w:tabs>
          <w:tab w:val="right" w:pos="10065"/>
        </w:tabs>
        <w:rPr>
          <w:i/>
          <w:sz w:val="20"/>
        </w:rPr>
      </w:pPr>
      <w:r w:rsidRPr="00F05154">
        <w:rPr>
          <w:i/>
          <w:sz w:val="20"/>
          <w:vertAlign w:val="superscript"/>
        </w:rPr>
        <w:t>1</w:t>
      </w:r>
      <w:r w:rsidRPr="00F05154">
        <w:rPr>
          <w:i/>
          <w:sz w:val="20"/>
        </w:rPr>
        <w:t xml:space="preserve"> Issuer categories: ABS, development bank, financial corporate, government-backed entity, loan, local government, non-financial corporate, sovereign</w:t>
      </w:r>
    </w:p>
    <w:p w14:paraId="6E766AD6" w14:textId="77777777" w:rsidR="0040452A" w:rsidRDefault="0040452A"/>
    <w:sectPr w:rsidR="0040452A" w:rsidSect="00E90F5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804E" w14:textId="77777777" w:rsidR="00657001" w:rsidRDefault="00657001" w:rsidP="00E22AD2">
      <w:pPr>
        <w:spacing w:after="0" w:line="240" w:lineRule="auto"/>
      </w:pPr>
      <w:r>
        <w:separator/>
      </w:r>
    </w:p>
  </w:endnote>
  <w:endnote w:type="continuationSeparator" w:id="0">
    <w:p w14:paraId="5C1BFC0D" w14:textId="77777777" w:rsidR="00657001" w:rsidRDefault="00657001" w:rsidP="00E2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2D80" w14:textId="5788C12C" w:rsidR="00E22AD2" w:rsidRDefault="00E22AD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3467992A" wp14:editId="6B2F5E41">
          <wp:simplePos x="0" y="0"/>
          <wp:positionH relativeFrom="column">
            <wp:posOffset>4353086</wp:posOffset>
          </wp:positionH>
          <wp:positionV relativeFrom="paragraph">
            <wp:posOffset>0</wp:posOffset>
          </wp:positionV>
          <wp:extent cx="2249487" cy="407987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2862" r="2162"/>
                  <a:stretch>
                    <a:fillRect/>
                  </a:stretch>
                </pic:blipFill>
                <pic:spPr bwMode="auto">
                  <a:xfrm>
                    <a:off x="0" y="0"/>
                    <a:ext cx="2249487" cy="407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B3CF" w14:textId="6D64737A" w:rsidR="00E22AD2" w:rsidRDefault="00E22AD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41AF05C8" wp14:editId="03607EA6">
          <wp:simplePos x="0" y="0"/>
          <wp:positionH relativeFrom="column">
            <wp:posOffset>4328795</wp:posOffset>
          </wp:positionH>
          <wp:positionV relativeFrom="paragraph">
            <wp:posOffset>0</wp:posOffset>
          </wp:positionV>
          <wp:extent cx="2249487" cy="407987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2862" r="2162"/>
                  <a:stretch>
                    <a:fillRect/>
                  </a:stretch>
                </pic:blipFill>
                <pic:spPr bwMode="auto">
                  <a:xfrm>
                    <a:off x="0" y="0"/>
                    <a:ext cx="2249487" cy="4079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431F7" w14:textId="77777777" w:rsidR="00657001" w:rsidRDefault="00657001" w:rsidP="00E22AD2">
      <w:pPr>
        <w:spacing w:after="0" w:line="240" w:lineRule="auto"/>
      </w:pPr>
      <w:r>
        <w:separator/>
      </w:r>
    </w:p>
  </w:footnote>
  <w:footnote w:type="continuationSeparator" w:id="0">
    <w:p w14:paraId="211797E4" w14:textId="77777777" w:rsidR="00657001" w:rsidRDefault="00657001" w:rsidP="00E22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96B3" w14:textId="6D855348" w:rsidR="006E65EC" w:rsidRDefault="00E90F58" w:rsidP="003E7E68">
    <w:pPr>
      <w:pStyle w:val="Header"/>
      <w:ind w:left="-142" w:firstLine="142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254F12C1" wp14:editId="66A7C5CA">
          <wp:simplePos x="0" y="0"/>
          <wp:positionH relativeFrom="column">
            <wp:posOffset>4612640</wp:posOffset>
          </wp:positionH>
          <wp:positionV relativeFrom="paragraph">
            <wp:posOffset>-289560</wp:posOffset>
          </wp:positionV>
          <wp:extent cx="2001520" cy="360045"/>
          <wp:effectExtent l="0" t="0" r="0" b="1905"/>
          <wp:wrapNone/>
          <wp:docPr id="4" name="Picture 8" descr="CB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BI_logo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7921E8F5" wp14:editId="6961167C">
          <wp:simplePos x="0" y="0"/>
          <wp:positionH relativeFrom="column">
            <wp:posOffset>20320</wp:posOffset>
          </wp:positionH>
          <wp:positionV relativeFrom="paragraph">
            <wp:posOffset>-426085</wp:posOffset>
          </wp:positionV>
          <wp:extent cx="1398905" cy="557530"/>
          <wp:effectExtent l="0" t="0" r="0" b="1270"/>
          <wp:wrapNone/>
          <wp:docPr id="5" name="Picture 40" descr="CB-Certified-6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 descr="CB-Certified-6A.pdf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2" t="38447" r="21362" b="46055"/>
                  <a:stretch/>
                </pic:blipFill>
                <pic:spPr bwMode="auto">
                  <a:xfrm>
                    <a:off x="0" y="0"/>
                    <a:ext cx="13989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2531A" w14:textId="77777777" w:rsidR="006E65EC" w:rsidRDefault="00657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3A77" w14:textId="4F00B15C" w:rsidR="007157E1" w:rsidRDefault="00E90F5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304D4ABB" wp14:editId="0B81451A">
          <wp:simplePos x="0" y="0"/>
          <wp:positionH relativeFrom="column">
            <wp:posOffset>4626610</wp:posOffset>
          </wp:positionH>
          <wp:positionV relativeFrom="paragraph">
            <wp:posOffset>-289560</wp:posOffset>
          </wp:positionV>
          <wp:extent cx="2001520" cy="360045"/>
          <wp:effectExtent l="0" t="0" r="0" b="1905"/>
          <wp:wrapNone/>
          <wp:docPr id="1" name="Picture 8" descr="CB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8" descr="CBI_logo.pn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5F9FFAA" wp14:editId="58C2A26E">
          <wp:simplePos x="0" y="0"/>
          <wp:positionH relativeFrom="column">
            <wp:posOffset>6350</wp:posOffset>
          </wp:positionH>
          <wp:positionV relativeFrom="paragraph">
            <wp:posOffset>-427990</wp:posOffset>
          </wp:positionV>
          <wp:extent cx="1398905" cy="557530"/>
          <wp:effectExtent l="0" t="0" r="0" b="1270"/>
          <wp:wrapNone/>
          <wp:docPr id="2" name="Picture 40" descr="CB-Certified-6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 descr="CB-Certified-6A.pdf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92" t="38447" r="21362" b="46055"/>
                  <a:stretch/>
                </pic:blipFill>
                <pic:spPr bwMode="auto">
                  <a:xfrm>
                    <a:off x="0" y="0"/>
                    <a:ext cx="139890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63E"/>
    <w:multiLevelType w:val="hybridMultilevel"/>
    <w:tmpl w:val="70C4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6B4"/>
    <w:multiLevelType w:val="hybridMultilevel"/>
    <w:tmpl w:val="8760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534A3"/>
    <w:multiLevelType w:val="hybridMultilevel"/>
    <w:tmpl w:val="0A9C7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UwM7O0NDYyMjI1MjNR0lEKTi0uzszPAykwNKwFAAbFQkQtAAAA"/>
  </w:docVars>
  <w:rsids>
    <w:rsidRoot w:val="00E22AD2"/>
    <w:rsid w:val="0001468D"/>
    <w:rsid w:val="00072279"/>
    <w:rsid w:val="000833FB"/>
    <w:rsid w:val="00095080"/>
    <w:rsid w:val="000A639F"/>
    <w:rsid w:val="000A71FC"/>
    <w:rsid w:val="000C2E97"/>
    <w:rsid w:val="000C7C08"/>
    <w:rsid w:val="00116675"/>
    <w:rsid w:val="00165B47"/>
    <w:rsid w:val="0019045D"/>
    <w:rsid w:val="001A492B"/>
    <w:rsid w:val="001C1FF3"/>
    <w:rsid w:val="002941AA"/>
    <w:rsid w:val="002B52F7"/>
    <w:rsid w:val="002C32F2"/>
    <w:rsid w:val="002E3DE0"/>
    <w:rsid w:val="00305A06"/>
    <w:rsid w:val="0030709E"/>
    <w:rsid w:val="003163F8"/>
    <w:rsid w:val="003B030C"/>
    <w:rsid w:val="003D5C3E"/>
    <w:rsid w:val="0040452A"/>
    <w:rsid w:val="004473F3"/>
    <w:rsid w:val="004617AB"/>
    <w:rsid w:val="0047052C"/>
    <w:rsid w:val="00475B0E"/>
    <w:rsid w:val="004E3C39"/>
    <w:rsid w:val="00510A46"/>
    <w:rsid w:val="00555E13"/>
    <w:rsid w:val="005B4F85"/>
    <w:rsid w:val="005C5712"/>
    <w:rsid w:val="0062189B"/>
    <w:rsid w:val="00621A1A"/>
    <w:rsid w:val="00657001"/>
    <w:rsid w:val="006D349B"/>
    <w:rsid w:val="006F2DF1"/>
    <w:rsid w:val="00700C69"/>
    <w:rsid w:val="007401CD"/>
    <w:rsid w:val="007763A6"/>
    <w:rsid w:val="007D3049"/>
    <w:rsid w:val="007F5601"/>
    <w:rsid w:val="00884268"/>
    <w:rsid w:val="008A1739"/>
    <w:rsid w:val="00917E0A"/>
    <w:rsid w:val="00941FB2"/>
    <w:rsid w:val="00967A97"/>
    <w:rsid w:val="00976268"/>
    <w:rsid w:val="009D543B"/>
    <w:rsid w:val="009E519C"/>
    <w:rsid w:val="009F2AD3"/>
    <w:rsid w:val="00A27E0D"/>
    <w:rsid w:val="00A41EA7"/>
    <w:rsid w:val="00A51438"/>
    <w:rsid w:val="00A614A9"/>
    <w:rsid w:val="00A754F7"/>
    <w:rsid w:val="00A81120"/>
    <w:rsid w:val="00AA7AFB"/>
    <w:rsid w:val="00B150EA"/>
    <w:rsid w:val="00B248B6"/>
    <w:rsid w:val="00B40AEC"/>
    <w:rsid w:val="00BA6F18"/>
    <w:rsid w:val="00BD040B"/>
    <w:rsid w:val="00C96D95"/>
    <w:rsid w:val="00CD67AC"/>
    <w:rsid w:val="00CF1E86"/>
    <w:rsid w:val="00D22E6A"/>
    <w:rsid w:val="00D37F70"/>
    <w:rsid w:val="00D61527"/>
    <w:rsid w:val="00DA5F31"/>
    <w:rsid w:val="00DC660B"/>
    <w:rsid w:val="00DD6B00"/>
    <w:rsid w:val="00DD76E9"/>
    <w:rsid w:val="00DE01BC"/>
    <w:rsid w:val="00DE3B9D"/>
    <w:rsid w:val="00E07A7D"/>
    <w:rsid w:val="00E175D6"/>
    <w:rsid w:val="00E22AD2"/>
    <w:rsid w:val="00E31BA9"/>
    <w:rsid w:val="00E83551"/>
    <w:rsid w:val="00E90F58"/>
    <w:rsid w:val="00F176D1"/>
    <w:rsid w:val="00F2407E"/>
    <w:rsid w:val="00F6098F"/>
    <w:rsid w:val="00F709CD"/>
    <w:rsid w:val="00F9622B"/>
    <w:rsid w:val="00FF671C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8B7C3"/>
  <w15:chartTrackingRefBased/>
  <w15:docId w15:val="{9A1B88C6-BEA3-453B-BC0A-3DECAACC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2A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A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22A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2A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2A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D2"/>
  </w:style>
  <w:style w:type="paragraph" w:styleId="Footer">
    <w:name w:val="footer"/>
    <w:basedOn w:val="Normal"/>
    <w:link w:val="FooterChar"/>
    <w:uiPriority w:val="99"/>
    <w:unhideWhenUsed/>
    <w:rsid w:val="00E22A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D2"/>
  </w:style>
  <w:style w:type="character" w:styleId="UnresolvedMention">
    <w:name w:val="Unresolved Mention"/>
    <w:basedOn w:val="DefaultParagraphFont"/>
    <w:uiPriority w:val="99"/>
    <w:semiHidden/>
    <w:unhideWhenUsed/>
    <w:rsid w:val="00E175D6"/>
    <w:rPr>
      <w:color w:val="808080"/>
      <w:shd w:val="clear" w:color="auto" w:fill="E6E6E6"/>
    </w:rPr>
  </w:style>
  <w:style w:type="paragraph" w:customStyle="1" w:styleId="Default">
    <w:name w:val="Default"/>
    <w:rsid w:val="00DC6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27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gb.gov.hk/en/others/documents/Second_Party_Opinion_Hong_Kong_VF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gb.gov.hk/en/others/documents/GBF_finalised_dated_28_March_201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giulia.rado1@outlook.com</dc:creator>
  <cp:keywords/>
  <dc:description/>
  <cp:lastModifiedBy>Krista Tukiainen</cp:lastModifiedBy>
  <cp:revision>21</cp:revision>
  <cp:lastPrinted>2018-04-24T11:01:00Z</cp:lastPrinted>
  <dcterms:created xsi:type="dcterms:W3CDTF">2019-06-07T10:29:00Z</dcterms:created>
  <dcterms:modified xsi:type="dcterms:W3CDTF">2019-06-11T11:35:00Z</dcterms:modified>
</cp:coreProperties>
</file>